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929E7" w:rsidRPr="000929E7" w:rsidTr="00E97CA9">
        <w:tc>
          <w:tcPr>
            <w:tcW w:w="4927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ПРИЛОЖЕНИЕ к решению Совета депутатов муниципального образования «Муниципальный округ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Глазовский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район Удмуртской Республики»</w:t>
            </w:r>
          </w:p>
          <w:p w:rsidR="000929E7" w:rsidRPr="000929E7" w:rsidRDefault="000929E7" w:rsidP="00092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28 февраля 2024 года № 359</w:t>
            </w:r>
          </w:p>
        </w:tc>
      </w:tr>
    </w:tbl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widowControl w:val="0"/>
        <w:spacing w:after="0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widowControl w:val="0"/>
        <w:spacing w:after="0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929E7" w:rsidRPr="000929E7" w:rsidRDefault="000929E7" w:rsidP="000929E7">
      <w:pPr>
        <w:widowControl w:val="0"/>
        <w:tabs>
          <w:tab w:val="left" w:pos="7845"/>
          <w:tab w:val="right" w:pos="9639"/>
        </w:tabs>
        <w:spacing w:after="0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итогах деятельности Администрации муниципального образования </w:t>
      </w:r>
    </w:p>
    <w:p w:rsidR="000929E7" w:rsidRPr="000929E7" w:rsidRDefault="000929E7" w:rsidP="000929E7">
      <w:pPr>
        <w:widowControl w:val="0"/>
        <w:tabs>
          <w:tab w:val="left" w:pos="7845"/>
          <w:tab w:val="right" w:pos="9639"/>
        </w:tabs>
        <w:spacing w:after="0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 Удмуртской Республики» за 2023 год и </w:t>
      </w:r>
      <w:proofErr w:type="gramStart"/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задачах</w:t>
      </w:r>
      <w:proofErr w:type="gramEnd"/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2024 год</w:t>
      </w:r>
    </w:p>
    <w:p w:rsidR="000929E7" w:rsidRPr="000929E7" w:rsidRDefault="000929E7" w:rsidP="000929E7">
      <w:pPr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за 2023 год исполнен в целом по доходам в объеме 893,3 млн. рублей, что составляет 102,3% к уточненному плану, к уровню прошлого года исполнение составило 125,6% или получено доходов  больше на 182,2 млн. 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 безвозмездные поступления составили  в сумме 663,4 млн. рублей, к аналогичному периоду прошлого года получено больше  на 140,7 млн. рублей. 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Собственные доходы исполнены в сумме 229,8 млн. рублей  или на 113,6 % к уточненному плану, к уровню прошлого года исполнение составило 122,0% или получено доходов  больше на 41,4 млн. рублей. 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собственных доходов бюджета 2023 года, как и в 2022 году занимает НДФЛ-140,0 млн. рублей и акцизы на нефтепродукты-30,8 млн. рублей (соответственно 61 % и 13% от общего объема  собственных доходов).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собственных доходов в 2023 году по сравнению с предыдущим годом обусловлено: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НДФЛ рост на 17,8 млн. рублей (повышение заработной платы, МРОТ);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акцизы на нефтепродукты снижение на 1,4 млн. рублей (снижение дифференцированного норматива отчислений);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налоги на имущество рост на 0,1 млн. рублей;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использования и продажи имущества рост на 23,7 млн. рублей (увеличение от продажи земли на 4,3 млн. рублей,  доходов от реализации имущества, связанного с поступлением задатка от продажи  имущества на 20,9 млн. рублей, уменьшение арендных платежей  на 0,8 млн. рублей);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налоговые и неналоговые доходы рост на 1,2 млн. рублей (увеличение поступлений от населения, спонсоров по проектам с участием средств самообложения граждан, инициативного бюджетирования, связанного увеличение количества проектов  получено больше на 3,4 млн. рублей, уменьшение платных услуг из – за  перехода казенных школ в бюджетные на 1,5 млн. рублей, снижение поступления по госпошлине на 0,9 млн. рублей).</w:t>
      </w:r>
      <w:proofErr w:type="gramEnd"/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 2024 год сформирован по доходам 769,4 млн. рублей с учетом доведенных безвозмездных поступлений  из бюджета УР и ФБ - 569,6 тыс. рублей, и собственных доходов 199,8 тыс. рублей.</w:t>
      </w:r>
    </w:p>
    <w:p w:rsidR="000929E7" w:rsidRPr="000929E7" w:rsidRDefault="000929E7" w:rsidP="000929E7">
      <w:pPr>
        <w:spacing w:after="120"/>
        <w:ind w:left="-284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республиканскому конкурсу инициативного бюджетирования «Наша инициатива»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было реализовано 10 проектов  на 7,8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руб.: 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Обустройство детско-игровой площадки в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Солдырь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Обустройство спортивно-игровой площадки в д. Верхняя Слудка.</w:t>
      </w:r>
    </w:p>
    <w:p w:rsidR="000929E7" w:rsidRPr="000929E7" w:rsidRDefault="000929E7" w:rsidP="000929E7">
      <w:pPr>
        <w:widowControl w:val="0"/>
        <w:tabs>
          <w:tab w:val="left" w:pos="709"/>
        </w:tabs>
        <w:spacing w:after="0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Ремонт входной группы и помещений части здания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Слудского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 в д.                               Верхняя Слудка.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Благоустройство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комплекса купели Храма Рождества Богородицы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Удмуртских Ключах.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Устройство подхода к основному каскаду Ключей и купели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дмуртские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Ключи.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Установка уличного освещения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еменовский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улицам Железнодорожная, Ольховая, Парковая.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Установка мемориала участникам Первой мировой войны 1914-1918 гг., ветеранам Великой Отечественной войны 1941-1945 гг., жителям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мутница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Приобретение щебня для ремонта дороги ул.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Ягошур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Приобретение и установка уличных тренажеров в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Ремонт дорожного полотна в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ул.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 (проулок) и от ул.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 Северная (проулок).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 программе «Самообложение»</w:t>
      </w: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реализовано 30 проектов на 15,9  млн. руб.:</w:t>
      </w:r>
    </w:p>
    <w:p w:rsidR="000929E7" w:rsidRPr="000929E7" w:rsidRDefault="000929E7" w:rsidP="000929E7">
      <w:pPr>
        <w:spacing w:after="0"/>
        <w:ind w:left="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Установка дополнительного уличного освещения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одлесная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ул.Труда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ул.Луговая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д.Солдырь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Установка дополнительного уличного освещения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ызепская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д.Солдырь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Ремонт дорожного полотна части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ызепская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д.Солдырь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материала для устройства спуска к роднику в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олдырь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Ремонт водопроводной сети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ызепская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д.Солдырь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Ремонт дорожного полотна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.Ш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кольная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д.Солдырь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Ремонт дорожного полотна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.Ц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д.Солдырь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Установка дополнительного уличного освещения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.С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основая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д.Адам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Ремонт дорожного полотна части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.Л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есная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д.Адам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Изготовление и установка дополнительных стел на обелиск землякам, погибшим в годы Великой Отечественной войны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.Л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юм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Обустройство многофункциональной детской площадки в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.Г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улеково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Обустройство многофункциональной детской спортивной площадки в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.Г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улеково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Приобретение и установка спортивного оборудования на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ул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.Ю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жная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 Большой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Лудошур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Замена водонапорной башни в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.У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раково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Приобретение баяна в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Кочишевский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ЦСДК – филиал МБУК Центр «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КиТ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Ремонт водопроводной сети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>жная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д.Кочишево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Благоустройство зоны отдыха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>енина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д.Кочишево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Изготовление и установка освещенной въездной группы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>очишево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Приобретение и установка дополнительного оборудования на детской игровой площадке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>ервомайская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д.Курегово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Ощебенение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дорожного полотна по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>аречная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, ул.20 лет Совхоза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с.Парзи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Изготовление и установка контейнерной площадки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.З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аречная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с.Понино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материала для благоустройства 2 родников в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удвай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материала для благоустройства зоны отдыха 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олодежная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д.Золотарево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</w:t>
      </w:r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щебня для ремонта дорожного полотна от д.32а до д.44а по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ул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.Л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уговая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д.Полынга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Обустройство </w:t>
      </w: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тротуара от д.2 до д.2а по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>лазовская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д.Штанигурт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щебня для ремонта дороги от д.9 до д.18 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.Л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уговая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д.Азамай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Обустройство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тротуара у дома №8а по ул. 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Восточная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Ремонт части водопроводной сети в д.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Омутница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щебня на ремонт части дорожного полотна по ул.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д. 1 до д. 7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29E7" w:rsidRPr="000929E7" w:rsidRDefault="000929E7" w:rsidP="000929E7">
      <w:pPr>
        <w:numPr>
          <w:ilvl w:val="0"/>
          <w:numId w:val="2"/>
        </w:numPr>
        <w:suppressAutoHyphens/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уличного освещения по ул. Западная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uppressAutoHyphens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 проекту «Наше село»</w:t>
      </w: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реализовано 7 проектов на 2,7 млн. руб.:  </w:t>
      </w:r>
    </w:p>
    <w:p w:rsidR="000929E7" w:rsidRPr="000929E7" w:rsidRDefault="000929E7" w:rsidP="000929E7">
      <w:pPr>
        <w:spacing w:after="0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929E7" w:rsidRPr="000929E7" w:rsidRDefault="000929E7" w:rsidP="000929E7">
      <w:pPr>
        <w:numPr>
          <w:ilvl w:val="0"/>
          <w:numId w:val="1"/>
        </w:numPr>
        <w:suppressAutoHyphens/>
        <w:spacing w:after="0" w:line="276" w:lineRule="auto"/>
        <w:ind w:left="-284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Ремонт 3 дорог (подъезда к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оздеево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пер.Зеленый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д.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Кожиль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д.Качкашур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0929E7" w:rsidRPr="000929E7" w:rsidRDefault="000929E7" w:rsidP="000929E7">
      <w:pPr>
        <w:numPr>
          <w:ilvl w:val="0"/>
          <w:numId w:val="1"/>
        </w:numPr>
        <w:suppressAutoHyphens/>
        <w:spacing w:after="0" w:line="276" w:lineRule="auto"/>
        <w:ind w:left="-284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 проекта на приобретение щебня для ремонта дорог:</w:t>
      </w:r>
    </w:p>
    <w:p w:rsidR="000929E7" w:rsidRPr="000929E7" w:rsidRDefault="000929E7" w:rsidP="000929E7">
      <w:pPr>
        <w:spacing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аречная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с.Парзи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929E7" w:rsidRPr="000929E7" w:rsidRDefault="000929E7" w:rsidP="000929E7">
      <w:pPr>
        <w:spacing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часть дороги ул.40 лет Победы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онино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0929E7" w:rsidRPr="000929E7" w:rsidRDefault="000929E7" w:rsidP="000929E7">
      <w:pPr>
        <w:spacing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часть дорожного полотна на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овая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ул.Центральная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ул.Клубная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д.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Пусошур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0929E7" w:rsidRPr="000929E7" w:rsidRDefault="000929E7" w:rsidP="000929E7">
      <w:pPr>
        <w:spacing w:line="276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часть дороги на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осточная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д.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Штанигурт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участию молодежи в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республиканском конкурсе молодежного инициативного бюджетирования «Атмосфера»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реализованы 9 проектов на 2,3 млн. руб.:</w:t>
      </w:r>
      <w:proofErr w:type="gramEnd"/>
    </w:p>
    <w:p w:rsidR="000929E7" w:rsidRPr="000929E7" w:rsidRDefault="000929E7" w:rsidP="000929E7">
      <w:p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1. Турнир по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лазертагу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«Витязь арена»;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2. Площадка для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стритбола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3. Ночной фестиваль «Шаг вперед!»;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4. Храним наследие победы;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ВоркаутФест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СпортГурт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6. Фестиваль искусств «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ДондыАрт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7. VR-турнир;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8. Фестиваль профессий;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9. Проделки Корка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Кузё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9E7" w:rsidRPr="000929E7" w:rsidRDefault="000929E7" w:rsidP="000929E7">
      <w:pPr>
        <w:spacing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стартовал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проект в Удмуртии по инициативному бюджетированию «Без границ»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разработанный специально для людей с ограниченными возможностями здоровья.</w:t>
      </w:r>
      <w:proofErr w:type="gramEnd"/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построен по аналогии с конкурсом «Атмосфера». Реализовать свои идеи  жители района могли в трех направлениях: объекты общественной инфраструктуры, событийные мероприятия,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интернет-проекты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 4 проекта на 2,2 млн. руб.: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29E7" w:rsidRPr="000929E7" w:rsidRDefault="000929E7" w:rsidP="000929E7">
      <w:pPr>
        <w:numPr>
          <w:ilvl w:val="0"/>
          <w:numId w:val="4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Адаптивный игровой центр в д.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Кочишево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29E7" w:rsidRPr="000929E7" w:rsidRDefault="000929E7" w:rsidP="000929E7">
      <w:pPr>
        <w:numPr>
          <w:ilvl w:val="0"/>
          <w:numId w:val="4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Серия мастер-классов «В движении»;</w:t>
      </w:r>
    </w:p>
    <w:p w:rsidR="000929E7" w:rsidRPr="000929E7" w:rsidRDefault="000929E7" w:rsidP="000929E7">
      <w:pPr>
        <w:numPr>
          <w:ilvl w:val="0"/>
          <w:numId w:val="4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Фестиваль адаптивного спорта «Без границ»;</w:t>
      </w:r>
    </w:p>
    <w:p w:rsidR="000929E7" w:rsidRPr="000929E7" w:rsidRDefault="000929E7" w:rsidP="000929E7">
      <w:pPr>
        <w:numPr>
          <w:ilvl w:val="0"/>
          <w:numId w:val="4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Соревнования по скандинавской ходьбе.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участию в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программе «Комплексное развитие сельских территорий»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реализовано 4 проекта на общую сумму 67,4 млн. руб.</w:t>
      </w:r>
    </w:p>
    <w:p w:rsidR="000929E7" w:rsidRPr="000929E7" w:rsidRDefault="000929E7" w:rsidP="000929E7">
      <w:p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numPr>
          <w:ilvl w:val="0"/>
          <w:numId w:val="5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Обустройство 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купели комплекса Храма Рождества Богородицы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на Удмуртских Ключах в д. Удмуртские Ключи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района Удмуртской Республики на сумму – 2,9 млн. руб.</w:t>
      </w:r>
    </w:p>
    <w:p w:rsidR="000929E7" w:rsidRPr="000929E7" w:rsidRDefault="000929E7" w:rsidP="000929E7">
      <w:pPr>
        <w:numPr>
          <w:ilvl w:val="0"/>
          <w:numId w:val="5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Установка оборудования для многофункциональной детской спортивной площадки в деревне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Гулеково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района Удмуртской Республики на сумму – 3,8 млн. руб.</w:t>
      </w:r>
    </w:p>
    <w:p w:rsidR="000929E7" w:rsidRPr="000929E7" w:rsidRDefault="000929E7" w:rsidP="000929E7">
      <w:pPr>
        <w:numPr>
          <w:ilvl w:val="0"/>
          <w:numId w:val="5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Строительство 10 жилых домов площадью 72 м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в д. Удмуртские Ключи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района на сумму – 50,6 млн. руб.</w:t>
      </w:r>
    </w:p>
    <w:p w:rsidR="000929E7" w:rsidRPr="000929E7" w:rsidRDefault="000929E7" w:rsidP="000929E7">
      <w:pPr>
        <w:numPr>
          <w:ilvl w:val="0"/>
          <w:numId w:val="5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Строительство 2 жилых домов площадью 72 м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в д.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Кожиль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района на сумму – 10,1 млн. руб.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проектирование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проектов - 5,3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рублей: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проекта получили грант от Федерального агентства по делам молодежи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Росмолодёжь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29E7" w:rsidRPr="000929E7" w:rsidRDefault="000929E7" w:rsidP="000929E7">
      <w:pPr>
        <w:numPr>
          <w:ilvl w:val="0"/>
          <w:numId w:val="3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Средневековый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иммерсивный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фестиваль "Новые Огни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ДондыДора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" на сумму – 569 тыс. руб.</w:t>
      </w:r>
    </w:p>
    <w:p w:rsidR="000929E7" w:rsidRPr="000929E7" w:rsidRDefault="000929E7" w:rsidP="000929E7">
      <w:pPr>
        <w:numPr>
          <w:ilvl w:val="0"/>
          <w:numId w:val="3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Фото-экспедиция "ДондыДор.jpg" на сумму – 464 тыс. руб.</w:t>
      </w:r>
    </w:p>
    <w:p w:rsidR="000929E7" w:rsidRPr="000929E7" w:rsidRDefault="000929E7" w:rsidP="000929E7">
      <w:pPr>
        <w:numPr>
          <w:ilvl w:val="0"/>
          <w:numId w:val="3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Районный фестиваль инициатив "Взгляд молодежи" на сумму – 294 тыс. руб.</w:t>
      </w:r>
    </w:p>
    <w:p w:rsidR="000929E7" w:rsidRPr="000929E7" w:rsidRDefault="000929E7" w:rsidP="000929E7">
      <w:pPr>
        <w:spacing w:line="276" w:lineRule="auto"/>
        <w:ind w:left="106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929E7" w:rsidRPr="000929E7" w:rsidRDefault="000929E7" w:rsidP="000929E7">
      <w:pPr>
        <w:spacing w:line="276" w:lineRule="auto"/>
        <w:ind w:left="0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Проект «Казаки от казаков ведутся». Благодаря участию в 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грантовом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конкурсе «Православная инициатива» МОУ "Октябрьская СОШ" получила грант 367,3 тыс. руб. 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«Конкурсе президентских грантов на реализацию проектов в области культуры, искусства и креативных индустрий» победу одержало три проекта: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numPr>
          <w:ilvl w:val="0"/>
          <w:numId w:val="6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«Неизвестные герои» на общую  сумму – 563, 5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9E7" w:rsidRPr="000929E7" w:rsidRDefault="000929E7" w:rsidP="000929E7">
      <w:pPr>
        <w:numPr>
          <w:ilvl w:val="0"/>
          <w:numId w:val="6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«Десант Победы» на общую сумму – 674,3 тыс. руб.</w:t>
      </w:r>
    </w:p>
    <w:p w:rsidR="000929E7" w:rsidRPr="000929E7" w:rsidRDefault="000929E7" w:rsidP="000929E7">
      <w:pPr>
        <w:numPr>
          <w:ilvl w:val="0"/>
          <w:numId w:val="6"/>
        </w:numPr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Межрегиональный этно-арт фестиваль «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Тыло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толэзь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»/«Огненная луна» на общую сумму – 2 млн. руб.</w:t>
      </w:r>
    </w:p>
    <w:p w:rsidR="000929E7" w:rsidRPr="000929E7" w:rsidRDefault="000929E7" w:rsidP="000929E7">
      <w:pPr>
        <w:spacing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конкурса «Общественно-значимых проектов первичных отделений Всероссийской  политической партии Единая Россия» 10 проектов одержали победу и получили по 15 000 руб. на реализацию проектов.</w:t>
      </w:r>
    </w:p>
    <w:p w:rsidR="000929E7" w:rsidRPr="000929E7" w:rsidRDefault="000929E7" w:rsidP="000929E7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осуществляют деятельность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386 субъектов малого и среднего предпринимательства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(рост количества субъектов к уровню 2022 года составил 25%), в том числе 5 средних предприятий, 50 – малых, 331 – ИП и 646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(рост на 47%). Среднемесячная заработная плата по крупным и средним организациям составляет 41726 рублей, темп роста к аналогичному периоду прошлого года составил 111%. 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субъектов МСП: сельское хозяйство, оптовая и розничная торговля, ремонт автотранспортных средств, деятельность автомобильного грузового транспорта, предоставление услуг.</w:t>
      </w:r>
    </w:p>
    <w:p w:rsidR="000929E7" w:rsidRPr="000929E7" w:rsidRDefault="000929E7" w:rsidP="000929E7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на территории района в стадии реализации находилось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инвестиционных проектов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направлениям: сельское хозяйство, туризм, придорожный сервис, промышленность.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2025 году по данным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инвестпроектам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планируемый объем инвестиций составит 1,0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планируется создание 40 новых рабочих мест, доходы в бюджет района от реализации данных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инвестпроектов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 116,0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Крупным реализованным проектом в 2023 году стал проект по строительству коровника на 566 голов в ООО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98"/>
        <w:gridCol w:w="1793"/>
        <w:gridCol w:w="1532"/>
        <w:gridCol w:w="1546"/>
        <w:gridCol w:w="1542"/>
      </w:tblGrid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Инвестор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инвестиций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новых рабочих мест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коровника на 566 голов с роботизированной системой доения» </w:t>
            </w: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молочно-товарной фермы на 1000 голов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«Коммунар»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2022-2029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конопли технической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Кожильский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крупного рогатого скота специализированной мясной породы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«Никольское»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предприятия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«Октябрьский»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Спортивно-туристический комплекс «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ДондыДор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инвестора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2016-2030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Торгово-развлекательный комплекс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«Успех»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Экоферма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«Малина»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Голомолзин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Придорожный сервис «Кафе гриль»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Ельцова С.В.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22,5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929E7" w:rsidRPr="000929E7" w:rsidTr="00E97CA9">
        <w:tc>
          <w:tcPr>
            <w:tcW w:w="560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8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пекарни «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Италмас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3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Ефремова О.В.</w:t>
            </w:r>
          </w:p>
        </w:tc>
        <w:tc>
          <w:tcPr>
            <w:tcW w:w="153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29E7" w:rsidRPr="000929E7" w:rsidTr="00E97CA9">
        <w:tc>
          <w:tcPr>
            <w:tcW w:w="6483" w:type="dxa"/>
            <w:gridSpan w:val="4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6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1542" w:type="dxa"/>
            <w:shd w:val="clear" w:color="auto" w:fill="auto"/>
          </w:tcPr>
          <w:p w:rsidR="000929E7" w:rsidRPr="000929E7" w:rsidRDefault="000929E7" w:rsidP="00092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0929E7" w:rsidRPr="000929E7" w:rsidRDefault="000929E7" w:rsidP="000929E7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территории района имеется 13 готовых для инвестирования площадок.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3 участка под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сельхозугодья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– под сельскохозяйственное производство (строительство фермы, птицефермы), 4 – для создания логистического центра, придорожного комплекса, строительства автозаправочной станции (д.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Октябрьский,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), 3 – для развития туризма (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ДондыДор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Качка), 1 – под строительство комплексной жилищной застройки (д.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929E7" w:rsidRPr="000929E7" w:rsidRDefault="000929E7" w:rsidP="000929E7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территории </w:t>
      </w:r>
      <w:proofErr w:type="spellStart"/>
      <w:r w:rsidRPr="000929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Глазовского</w:t>
      </w:r>
      <w:proofErr w:type="spellEnd"/>
      <w:r w:rsidRPr="000929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свою деятельность осуществляют </w:t>
      </w:r>
      <w:r w:rsidRPr="000929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10 сельскохозяйственных предприятий и 14 крестьянско-фермерских хозяйств</w:t>
      </w:r>
      <w:r w:rsidRPr="000929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2023 год производство молока составило 51,7 (+3,3) тысяч тонн, поголовье коров 6603 головы, удой с одной коровы составил 8096 кг молока в год (прирост 7%). По прогнозам до 2026 года ожидается рост основных показателей на 5% ежегодно.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деревни Удмуртские Ключи, где осуществляет свою деятельность сельскохозяйственный производственный кооператив «Коммунар», в 2021 году был реализован проект «Благоустройство (водоснабжение, уличное освещение, прокладка уличных дорог и тротуаров) комплексной компактной застройки микрорайона «Чайка» в д. Удмуртские Ключи» стоимостью 18,6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Объем жилищной застройки 25 жилых домов, в том числе для работников агропромышленного комплекса: 20 домов. Было построено 3528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дороги, 1568 метров сетей водоснабжения, 800 метров уличного освещения. В 2023 году при финансовой поддержке сельскохозяйственного предприятия построено 10 домов, которые предоставлены работникам СПК по договору найма жилого помещения на общую сумму около 51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из них вклад из внебюджетных источников 10,6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произведено обустройство общественной территории в рамках проектов благоустройства сельских территорий и инициативного бюджетирования общей стоимостью 6,4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участием средств предприятия.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17.08.2023 на сессии Совета депутатов муниципального образования «Муниципальный округ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принято решение о включении дол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«Октябрьский» в прогнозный план приватизации имущества на 2023 год. Поступления в бюджет муниципального образования «Муниципальный округ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продажи имущества составили 105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Аукцион по продаже доли проведен, заключен договор купли-продажи. 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ООО «Октябрьский» планируется реконструкция животноводческих помещений на двух производственных площадках в 2024-2025 годах. </w:t>
      </w:r>
    </w:p>
    <w:p w:rsidR="000929E7" w:rsidRPr="000929E7" w:rsidRDefault="000929E7" w:rsidP="000929E7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туризма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крупных является проект «Спортивно-туристический комплекс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Дондыдор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Турпоток ежегодно растет и достиг в 2023 году 52,7 тысяч туристов. Всего на территории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проходит 10 туристических маршрутов.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автодороге Ижевск-Киров реализуется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 придорожного сервиса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данной автодороге от Игры до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Соснового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придорожные сервисы и недостаточное количество автозаправочных станций. В связи с этим для создания логистического центра, придорожного комплекса, строительства автозаправочной станции подготовлено еще 4 инвестиционные площадки в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Октябрьский,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танигурт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развития дорожного хозяйства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были решены в 2023 году следующие задачи:</w:t>
      </w:r>
    </w:p>
    <w:p w:rsidR="000929E7" w:rsidRPr="000929E7" w:rsidRDefault="000929E7" w:rsidP="000929E7">
      <w:pPr>
        <w:numPr>
          <w:ilvl w:val="0"/>
          <w:numId w:val="7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Произведен текущий ремонт дорожного полотна с.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Парзи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д.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Ягошур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материал 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щебеночно-песчано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гравийная смесь.</w:t>
      </w:r>
    </w:p>
    <w:p w:rsidR="000929E7" w:rsidRPr="000929E7" w:rsidRDefault="000929E7" w:rsidP="000929E7">
      <w:pPr>
        <w:numPr>
          <w:ilvl w:val="0"/>
          <w:numId w:val="7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Произведено расширение 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проезжей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дорожного полотна п. Дом отдыха Чепца.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На 2024 год заключен контракт по текущему ремонту дорожного полотна и тротуаров с устройством нового асфальтобетона в 5 населенных пунктах (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Кожиль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Кочишево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Удм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Ключи,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Гулеково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0929E7" w:rsidRPr="000929E7" w:rsidRDefault="000929E7" w:rsidP="000929E7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before="100" w:beforeAutospacing="1" w:after="0" w:afterAutospacing="1"/>
        <w:ind w:left="0"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Услуги водоснабжения и водоотведения</w:t>
      </w: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в муниципальном образовании «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район» оказывает ООО «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Аквафонд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», 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Русатом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инфраструктурные решения» филиал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 Услуги по водоснабжению включают в себя подъем, очистку и транспортировку воды до потребителей. </w:t>
      </w:r>
      <w:r w:rsidRPr="000929E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Всего сетей водоснабжения - 240 км.</w:t>
      </w:r>
    </w:p>
    <w:p w:rsidR="000929E7" w:rsidRPr="000929E7" w:rsidRDefault="000929E7" w:rsidP="000929E7">
      <w:pPr>
        <w:spacing w:before="100" w:beforeAutospacing="1" w:after="100" w:afterAutospacing="1"/>
        <w:ind w:left="0" w:firstLine="72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 2023 году проведены следующие мероприятия:</w:t>
      </w:r>
    </w:p>
    <w:p w:rsidR="000929E7" w:rsidRPr="000929E7" w:rsidRDefault="000929E7" w:rsidP="000929E7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присоединение  к сетям водоснабжения города Глазова сетей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.Ш</w:t>
      </w:r>
      <w:proofErr w:type="gram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танигурт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х.Березовый,.д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Полынга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заключение договора аренды сетей с гарантирующей организацией АО РИР г. Глазов-6,3 </w:t>
      </w:r>
      <w:proofErr w:type="gram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млн</w:t>
      </w:r>
      <w:proofErr w:type="gram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рублей</w:t>
      </w:r>
    </w:p>
    <w:p w:rsidR="000929E7" w:rsidRPr="000929E7" w:rsidRDefault="000929E7" w:rsidP="000929E7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капитальный ремонт сетей водоснабжения района более 2 км, сумма 6 млн. руб. </w:t>
      </w:r>
    </w:p>
    <w:p w:rsidR="000929E7" w:rsidRPr="000929E7" w:rsidRDefault="000929E7" w:rsidP="000929E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замена водонапорной башни в д.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Пусошур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– 0,8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млн</w:t>
      </w:r>
      <w:proofErr w:type="gram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 2024 году планируется:</w:t>
      </w:r>
    </w:p>
    <w:p w:rsidR="000929E7" w:rsidRPr="000929E7" w:rsidRDefault="000929E7" w:rsidP="000929E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  капитальный ремонт сетей водоснабжения 3600 м;</w:t>
      </w:r>
    </w:p>
    <w:p w:rsidR="000929E7" w:rsidRPr="000929E7" w:rsidRDefault="000929E7" w:rsidP="000929E7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 строительство сетей водоснабжения д.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Педоново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165 м;</w:t>
      </w:r>
    </w:p>
    <w:p w:rsidR="000929E7" w:rsidRPr="000929E7" w:rsidRDefault="000929E7" w:rsidP="000929E7">
      <w:pPr>
        <w:spacing w:before="100" w:beforeAutospacing="1" w:after="100" w:afterAutospacing="1"/>
        <w:ind w:left="0"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 приобретение материалов для проведения ремонтных работ на сетях водоснабжения и водоотведения: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свертные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муфты, скважинные насосы, пожарные гидранты, водоразборные колонки, шкафы управления скважинными насосам – 3,8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млн</w:t>
      </w:r>
      <w:proofErr w:type="gram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u w:val="single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 w:rsidRPr="000929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Система водоотведения</w:t>
      </w: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 муниципальном образовании имеется в населенных пунктах: с. Понино, с.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Парзи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д.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Чура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с. Октябрьский, д.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Трубашур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., д.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Штанигурт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д. Адам, с.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Дзякино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д.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Кожиль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  <w:proofErr w:type="gram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Система каждого населенного пункта состоит из самотечных коллекторов, канализационных насосных станций с напорными трубопроводами и очистных сооружений канализации. Сетей водоотведения всего – 30,4 км.</w:t>
      </w:r>
    </w:p>
    <w:p w:rsidR="000929E7" w:rsidRPr="000929E7" w:rsidRDefault="000929E7" w:rsidP="000929E7">
      <w:pPr>
        <w:spacing w:after="0"/>
        <w:ind w:left="0" w:firstLine="720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 2023 году проведен капитальный ремонт канализационн</w:t>
      </w:r>
      <w:proofErr w:type="gram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о-</w:t>
      </w:r>
      <w:proofErr w:type="gram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насосной станции д.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Штанигурт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 - 2,6 млн рублей.</w:t>
      </w:r>
    </w:p>
    <w:p w:rsidR="000929E7" w:rsidRPr="000929E7" w:rsidRDefault="000929E7" w:rsidP="000929E7">
      <w:pPr>
        <w:spacing w:after="0"/>
        <w:ind w:left="0"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Начато проектирование подключения канализационных сетей д Адам к канализационным сетям г Глазова в точке подключения д/о «Чепца» - 1,7 </w:t>
      </w:r>
      <w:proofErr w:type="gram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млн</w:t>
      </w:r>
      <w:proofErr w:type="gram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руб.</w:t>
      </w:r>
    </w:p>
    <w:p w:rsidR="000929E7" w:rsidRPr="000929E7" w:rsidRDefault="000929E7" w:rsidP="000929E7">
      <w:pPr>
        <w:tabs>
          <w:tab w:val="left" w:pos="72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 2024 год планируется замена насосов станции биологической очистки деревня </w:t>
      </w:r>
      <w:proofErr w:type="spellStart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Чура</w:t>
      </w:r>
      <w:proofErr w:type="spellEnd"/>
      <w:r w:rsidRPr="000929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tabs>
          <w:tab w:val="left" w:pos="720"/>
        </w:tabs>
        <w:spacing w:after="0"/>
        <w:ind w:left="0" w:firstLine="72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была проведена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газификация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Трубашур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арзи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Новые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- 27,4 км, начато строительство распределительного газопровода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- 3,32 км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догазификации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- 35%.</w:t>
      </w: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2024 году планируется: </w:t>
      </w:r>
    </w:p>
    <w:p w:rsidR="000929E7" w:rsidRPr="000929E7" w:rsidRDefault="000929E7" w:rsidP="000929E7">
      <w:pPr>
        <w:tabs>
          <w:tab w:val="left" w:pos="720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ввести в эксплуатацию  распределительный  газопровод 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ачкашур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29E7" w:rsidRPr="000929E7" w:rsidRDefault="000929E7" w:rsidP="000929E7">
      <w:pPr>
        <w:tabs>
          <w:tab w:val="left" w:pos="72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проектирование  распределительных газопроводов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(4,25км) и д.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Полынга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(2,82 км).</w:t>
      </w:r>
    </w:p>
    <w:p w:rsidR="000929E7" w:rsidRPr="000929E7" w:rsidRDefault="000929E7" w:rsidP="000929E7">
      <w:pPr>
        <w:spacing w:after="0"/>
        <w:ind w:left="150"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догазификации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- 52%.</w:t>
      </w:r>
    </w:p>
    <w:p w:rsidR="000929E7" w:rsidRPr="000929E7" w:rsidRDefault="000929E7" w:rsidP="000929E7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данный период 2023 года 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систему образования</w:t>
      </w: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 составляют 15 образовательных организаций,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11 средних школ, 2 начальные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школы-детский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сад и  2 учреждения дополнительного образования (МУДО «ДЮСШ» и МУДО «ДДТ»). В связи с общим снижением численности детей на территории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Глазовского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в рамках оптимизации и реструктуризации учреждений образования сократилось число школ с 2005 года на 9. Теперь на каждом направлении от Глазова сохранены по средней школе с реализацией программы дошкольного образования, все детские сады переведены в структурные подразделения школ. К сожаленью, уменьшение населения, в том числе и детского возраста, продолжается. Но дальнейшая оптимизация невозможна из-за того, что школы расположены вокруг города Глазова радиально. Самые дальние школы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Парзинская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Куреговская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находятся от ближайших средних школ на расстоянии 25-17 км. Подвоз затруднен не только тем, что эти учреждения обучают детей из ближайших деревень и осуществляют подвоз по 2-3 школьным маршрутам,  но  еще и  тем, что  школьные автобусы совершают по несколько рейсов при доставке детей, как дошкольного, так и школьного возраста. 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3544"/>
      </w:tblGrid>
      <w:tr w:rsidR="000929E7" w:rsidRPr="000929E7" w:rsidTr="00E97C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в 1-11 классах</w:t>
            </w:r>
          </w:p>
        </w:tc>
      </w:tr>
      <w:tr w:rsidR="000929E7" w:rsidRPr="000929E7" w:rsidTr="00E97C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tabs>
                <w:tab w:val="left" w:pos="171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</w:tr>
      <w:tr w:rsidR="000929E7" w:rsidRPr="000929E7" w:rsidTr="00E97C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</w:tr>
      <w:tr w:rsidR="000929E7" w:rsidRPr="000929E7" w:rsidTr="00E97C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 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</w:tr>
      <w:tr w:rsidR="000929E7" w:rsidRPr="000929E7" w:rsidTr="00E97C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</w:tr>
      <w:tr w:rsidR="000929E7" w:rsidRPr="000929E7" w:rsidTr="00E97C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</w:tr>
      <w:tr w:rsidR="000929E7" w:rsidRPr="000929E7" w:rsidTr="00E97C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учебный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9E7" w:rsidRPr="000929E7" w:rsidRDefault="000929E7" w:rsidP="000929E7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</w:tbl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связи с тем, что здания школ и детских садов типовые, высокие тарифы на коммунальные услуги, радиальное географическое положение учреждений образования вокруг Глазова, отсутствие центральной школы численность детей, посещающих детские сады, в расчете на 1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педработника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итогам 2022 года составляют 7,70 человек (чуть увеличилось по сравнению с 2021 годом).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Численность обучающихся по программам общего образования с 1 по 11 классы, в расчете на 1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педработника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тоже одна из самых низких по УР: </w:t>
      </w: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5,57.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Расходы консолидированного бюджета в расчете на 1 ребенка, посещающего детский сад и школу, составляет 194, 64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ублей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2022 году, что также выше предыдущих лет. </w:t>
      </w:r>
    </w:p>
    <w:p w:rsidR="000929E7" w:rsidRPr="000929E7" w:rsidRDefault="000929E7" w:rsidP="000929E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2023 году благодаря участию в национальном проекте «Образование»: проекты «Современная школа», «Успех каждого ребенка», «Модернизация систем образования», «Цифровая образовательная среда»: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завершился капремонт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Понинской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средней школы;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-отремонтировали кровлю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Парзинской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школы; 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-открыли шестую Точку роста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Качкашурской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средней школе;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отремонтировали спортивный зал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Качкашурской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школе. 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70C0"/>
          <w:kern w:val="24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Планов в 2024 году для улучшения и создания безопасных и комфортных условий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обучающихся достаточно много:</w:t>
      </w:r>
      <w:r w:rsidRPr="000929E7">
        <w:rPr>
          <w:rFonts w:ascii="Times New Roman" w:eastAsia="Times New Roman" w:hAnsi="Times New Roman" w:cs="Times New Roman"/>
          <w:color w:val="0070C0"/>
          <w:kern w:val="24"/>
          <w:sz w:val="24"/>
          <w:szCs w:val="24"/>
          <w:lang w:eastAsia="ru-RU"/>
        </w:rPr>
        <w:t xml:space="preserve"> 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</w:t>
      </w: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Разработка ПСД на капитальный ремонт зданий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Кожильской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Парзинской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Куреговской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Октябрьской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 и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Кожильского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детского сада;</w:t>
      </w:r>
    </w:p>
    <w:p w:rsidR="000929E7" w:rsidRPr="000929E7" w:rsidRDefault="000929E7" w:rsidP="000929E7">
      <w:pPr>
        <w:tabs>
          <w:tab w:val="left" w:pos="0"/>
        </w:tabs>
        <w:spacing w:after="0"/>
        <w:ind w:left="708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Открытие «Точки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Роста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»в</w:t>
      </w:r>
      <w:proofErr w:type="spellEnd"/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Парзинской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СОШ;</w:t>
      </w:r>
    </w:p>
    <w:p w:rsidR="000929E7" w:rsidRPr="000929E7" w:rsidRDefault="000929E7" w:rsidP="000929E7">
      <w:pPr>
        <w:tabs>
          <w:tab w:val="left" w:pos="0"/>
        </w:tabs>
        <w:spacing w:after="0"/>
        <w:ind w:left="708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Ремонт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 зала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Кожильская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СОШ.</w:t>
      </w:r>
    </w:p>
    <w:p w:rsidR="000929E7" w:rsidRPr="000929E7" w:rsidRDefault="000929E7" w:rsidP="000929E7">
      <w:pPr>
        <w:tabs>
          <w:tab w:val="left" w:pos="720"/>
        </w:tabs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929E7" w:rsidRPr="000929E7" w:rsidRDefault="000929E7" w:rsidP="000929E7">
      <w:p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 учреждениям культуры</w:t>
      </w: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проведено всего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5641 </w:t>
      </w: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мероприятий, посетителей -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337371</w:t>
      </w: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(2022г. -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5596, посетителей 282 045). Привлечено внебюджетных источников - 17,7 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млн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руб., из них грантов – 11,4 млн руб. Клубных формирований 212 для 2889 участников.</w:t>
      </w:r>
    </w:p>
    <w:p w:rsidR="000929E7" w:rsidRPr="000929E7" w:rsidRDefault="000929E7" w:rsidP="000929E7">
      <w:pPr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2022 года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ведется работа в рамках программы «Пушкинская карта» следующими муниципальными бюджетными учреждениями культуры: «Центр культуры и туризма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и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историко-краеведческий музейный комплекс», а с 01 сентября 2022г. к программе «Пушкинская карта» подключилось муниципальное бюджетное учреждение культуры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централизованная библиотечная система». </w:t>
      </w:r>
    </w:p>
    <w:p w:rsidR="000929E7" w:rsidRPr="000929E7" w:rsidRDefault="000929E7" w:rsidP="000929E7">
      <w:p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В течение 2023г. МБУК «Центр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КиТ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» организован цикл семинаров по Пушкинской карте. Создано три презентации. По результатам 2023 года МБУК «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ЦентрКиТ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>» провел 45 мероприятий, продано 1 940 билетов, сумма привлеченных средств составила 693 530</w:t>
      </w:r>
      <w:r w:rsidRPr="000929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29E7">
        <w:rPr>
          <w:rFonts w:ascii="Times New Roman" w:eastAsia="Calibri" w:hAnsi="Times New Roman" w:cs="Times New Roman"/>
          <w:sz w:val="24"/>
          <w:szCs w:val="24"/>
        </w:rPr>
        <w:t>рублей. Всего с момента подключения к программе проведено 72 мероприятия, продано 2 891 билет на общую сумму 969 740 рублей. План на 2024 год – 921 500 рублей.</w:t>
      </w:r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зданий, в которых размещены учреждения культуры и образования в сфере культуры – 32. </w:t>
      </w:r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120"/>
        <w:ind w:left="-284" w:right="-10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укрепление материально-технической базы в 2023 году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израсходовано – 6 967,7 тысяч рублей,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том числе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средств бюджета Удмуртской Республики – 4 197,2 тысяч рублей, за счет средств местного бюджета - 778,8 тысяч рублей, за счет внебюджетных средств – 1 991,7 тысяч рублей,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 них осуществлялось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строительство и реконструкция: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 w:rsidRPr="000929E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объекта на сумму -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1 150 485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 (Проекты молодежного инициативного бюджетирования «Атмосфера», проект инициативного бюджетирования «Обустройство спортивной игровой площадки на территории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Слудского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ЦСДК» по проекту инициативного бюджетирования «Наша инициатива»),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том числе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средств бюджета Удмуртской Республики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900 143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рубля, за счет средств местного бюджета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149 997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за счет внебюджетных средств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100 345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рублей.</w:t>
      </w:r>
      <w:proofErr w:type="gramEnd"/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текущий ремонт: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объекта на сумму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2 317 716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 (Ремонт помещений здания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Кочишевского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 для создания адаптивного игрового центра по проекту инициативного бюджетирования для лиц с ограниченными возможностями «Без границ», Ремонт входной группы и помещений части здания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Слудского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 по проекту инициативного бюджетирования «Наша инициатива», Ремонт балкона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Куреговского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 за счет средств бюджета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выделенного на подготовку учреждений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работе в зимних условиях, Текущий ремонт коридора, вестибюля, тамбура, гардеробной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 по Федеральному партийному проекту «Культура малой Родины»),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том числе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средств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бюджета Удмуртской Республики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1 836 669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за счет средств местного бюджета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382 282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рубля, за счет внебюджетных средств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99 770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рублей.</w:t>
      </w:r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приобретение и замену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морально - устаревшего оборудования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(по проектам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«Без границ», «Атмосфера», предпринимательской и иной приносящей доход деятельности учреждений): музыкальных инструментов -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97 950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сценических костюмов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227 408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 мебели, техники и другого оборудования  -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3 116 400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рублей. Всего израсходовано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3 441 758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 для - 11</w:t>
      </w:r>
      <w:r w:rsidRPr="000929E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учреждений,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том числе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средств бюджета Удмуртской Республики –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1 402 668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за счет средств местного бюджета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 247 530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внебюджетные источники и средства от предпринимательской и иной приносящей доход деятельности –  </w:t>
      </w: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1 791 560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рублей.</w:t>
      </w:r>
    </w:p>
    <w:p w:rsidR="000929E7" w:rsidRPr="000929E7" w:rsidRDefault="000929E7" w:rsidP="000929E7">
      <w:pPr>
        <w:keepNext/>
        <w:spacing w:before="240" w:after="60"/>
        <w:ind w:left="-284" w:firstLine="851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Планы на 2024-2027 </w:t>
      </w:r>
      <w:proofErr w:type="spellStart"/>
      <w:proofErr w:type="gramStart"/>
      <w:r w:rsidRPr="000929E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гг</w:t>
      </w:r>
      <w:proofErr w:type="spellEnd"/>
      <w:proofErr w:type="gramEnd"/>
      <w:r w:rsidRPr="000929E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</w:t>
      </w:r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1. Строительство Ключевского ЦСДК,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Капитальный ремонт 8 объектов (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Парзинский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Адамский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Омутницкий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Трубашурский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СДК, Октябрьский ЦСДК,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Чуринский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СДК, административное здание МБУК «Центр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КиТ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», ремонт дорожного полотна),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Текущий ремонт  - 1 здание (ремонт зрительного зала РДК «Искра»).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аварийных зданий (при наличии заключения об аварийности) – 5 (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Парзинский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ЦСДК, 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Качкашурский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Адамский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Трубашурский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СДК, Административное здание МБУК «Центр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КиТ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»).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имеющейся в наличии проектно-сметной документации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строительство, реконструкцию, капитальный ремонт учреждений культуры  и образования в сфере культуры: год разработки, наличие положительных заключений государственной экспертизы (дата, №), сметная стоимость (в ценах  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.).  </w:t>
      </w:r>
    </w:p>
    <w:p w:rsidR="000929E7" w:rsidRPr="000929E7" w:rsidRDefault="000929E7" w:rsidP="000929E7">
      <w:pPr>
        <w:keepNext/>
        <w:spacing w:before="240" w:after="60"/>
        <w:ind w:left="-284" w:firstLine="851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Проектно-сметная документация в наличии:</w:t>
      </w:r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Объект капитального строительства: Дом культуры на 100 мест по адресу: УР,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.У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дмурт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Ключи,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д.4Б. Разработана в 2019г. Положительное  заключение экспертизы от 17.04.2020 №18-1-0022-20.Сметная стоимость - 27 900,45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 в ценах 4кв.2019г.</w:t>
      </w:r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Капитальный ремонт крыши и замена оконных блоков здания по адресу: УР.,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арзи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ул.Прудовая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д.7. Разработана 2019г. Положительное заключение экспертизы от 22.08.2019 № 18-1-0681-19. Сметная стоимость - 20624,12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 в ценах 1квартала 2019г.</w:t>
      </w:r>
    </w:p>
    <w:p w:rsidR="000929E7" w:rsidRPr="000929E7" w:rsidRDefault="000929E7" w:rsidP="000929E7">
      <w:pPr>
        <w:spacing w:after="12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Капитальный ремонт  перекрытия и кровли здания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Адамского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ЦСДК по адресу: УР,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.А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дам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, ул.Советская,19. Положительное заключение государственной экспертизы 01.11.2022 № 18-1-1-2-076819-2022. Сметная стоимость- 6445,20тыс. руб. в ценах 1 квартала 2022г.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Капитальный ремонт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Омутницкого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клуба находящегося по адресу: Удмуртская Республика,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Омутница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Наговицына,42» Положительное заключение экспертизы от 21.07.2022 № 01-11/1440-2022. Сметная стоимость- 5649,38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 в ценах 2 квартала 2022г.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Капитальный ремонт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Трубашурского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Дома культуры по адресу: Удмуртская Республика,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рубашур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д.5.</w:t>
      </w:r>
    </w:p>
    <w:p w:rsidR="000929E7" w:rsidRPr="000929E7" w:rsidRDefault="000929E7" w:rsidP="000929E7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1 этап: Положительное заключение от 29.07.2022 № 01-11/1460-2022г. Сметная стоимость – 2831, 16 тыс. руб. в ценах 2 квартала 2022г.</w:t>
      </w:r>
    </w:p>
    <w:p w:rsidR="000929E7" w:rsidRPr="000929E7" w:rsidRDefault="000929E7" w:rsidP="000929E7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2 этап: Положительное заключение от 29.07.2022г. № 01-11/1513-2022 Сметная стоимость – 9938,29 тыс. руб. в ценах на 2 квартал 2022г.</w:t>
      </w:r>
    </w:p>
    <w:p w:rsidR="000929E7" w:rsidRPr="000929E7" w:rsidRDefault="000929E7" w:rsidP="000929E7">
      <w:pPr>
        <w:keepNext/>
        <w:spacing w:before="240" w:after="60"/>
        <w:ind w:left="-284" w:firstLine="992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Сметная документация:</w:t>
      </w:r>
    </w:p>
    <w:p w:rsidR="000929E7" w:rsidRPr="000929E7" w:rsidRDefault="000929E7" w:rsidP="000929E7">
      <w:pPr>
        <w:spacing w:after="120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Ремонт зрительного зала Районного Дома культуры «Искра» по адресу: УР,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.Ш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танигурт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, д.3» Положительное заключение экспертизы от 15. 12. 2023. № 01-11/1862-2023. Сметная стоимость- 1 515,98 тыс. руб. в ценах  3 квартала 2023г.</w:t>
      </w:r>
    </w:p>
    <w:p w:rsidR="000929E7" w:rsidRPr="000929E7" w:rsidRDefault="000929E7" w:rsidP="000929E7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Капитальный ремонт Октябрьского Центрального сельского Дома культуры, расположенного по адресу: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.О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д.23 в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Удмуртской Республики.</w:t>
      </w:r>
    </w:p>
    <w:p w:rsidR="000929E7" w:rsidRPr="000929E7" w:rsidRDefault="000929E7" w:rsidP="000929E7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Положительное заключение от 21 .07. 2022г. №01-11/1435-2022, Сметная стоимость- 8675,94 тыс. руб. в ценах 1 квартала 2022г.</w:t>
      </w:r>
    </w:p>
    <w:p w:rsidR="000929E7" w:rsidRPr="000929E7" w:rsidRDefault="000929E7" w:rsidP="000929E7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Капитальный ремонт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Чуринского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Дома культуры по адресу: УР,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ура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, д.12А. Положительное заключение от 27.07.2022г. № 01-11/1483-2022. Сметная стоимость- 5121,78 тыс. руб. в ценах 2 квартала 2022г.</w:t>
      </w:r>
    </w:p>
    <w:p w:rsidR="000929E7" w:rsidRPr="000929E7" w:rsidRDefault="000929E7" w:rsidP="000929E7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«Ремонт дорожного полотна по адресу: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.А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дам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, ИКП «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Дондыдор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Положительное заключение экспертизы от 16.11.2022г. № 01-11/2205-2022. Сметная стоимость -1 997,59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. в ценах 3 кв.2022.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tabs>
          <w:tab w:val="left" w:pos="851"/>
          <w:tab w:val="left" w:pos="993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библиотечного обслуживания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создано и осуществляет деятельность муниципальное бюджетное учреждение культуры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централизованная библиотечная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составе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библиотека и 21 сельский филиал. 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Привлечено читателей за 2023 год – 9595; 2022 г. – 9816. Выдано документов за 2023 год – 216288; 2022 г – 218125. Число посещений за 2023 год – 176004; 2022 год – 173381, 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посещения сайта</w:t>
      </w:r>
      <w:r w:rsidRPr="00092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зоне обслуживания библиотек </w:t>
      </w:r>
      <w:proofErr w:type="spellStart"/>
      <w:r w:rsidRPr="00092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Глазовского</w:t>
      </w:r>
      <w:proofErr w:type="spellEnd"/>
      <w:r w:rsidRPr="00092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проживает по статистике 15428 человека. Процент охвата населения составил 62% с читателями центральной районной библиотеки.  </w:t>
      </w:r>
    </w:p>
    <w:p w:rsidR="000929E7" w:rsidRPr="000929E7" w:rsidRDefault="000929E7" w:rsidP="000929E7">
      <w:pPr>
        <w:tabs>
          <w:tab w:val="left" w:pos="851"/>
          <w:tab w:val="left" w:pos="993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выполнения платных услуг выглядит следующим образом: 2023г. – 172 074,63 руб. (из них по Пушкинской карте 81480,00 руб. до 10.12.2023, с 01.01.23 по 31.12.2023 заработано 132 180.00 руб.), 2022 г. – 135 645,00 руб. (из них по Пушкинской карте 8 390,00 руб. до 10.12.2022).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21 библиотека подключена к сети Интернет.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Районная библиотека и Октябрьский филиал имеют свои сайты, на сайте районной библиотеки все филиалы имеют веб-страницы.</w:t>
      </w:r>
    </w:p>
    <w:p w:rsidR="000929E7" w:rsidRPr="000929E7" w:rsidRDefault="000929E7" w:rsidP="000929E7">
      <w:pPr>
        <w:tabs>
          <w:tab w:val="left" w:pos="993"/>
          <w:tab w:val="left" w:pos="1134"/>
        </w:tabs>
        <w:spacing w:after="0"/>
        <w:ind w:left="-28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базе районной библиотеки открыт пункт </w:t>
      </w:r>
      <w:r w:rsidRPr="000929E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ЕСИА (Единая система идентификации и аутентификации)</w:t>
      </w:r>
      <w:r w:rsidRPr="000929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где каждый обратившийся может не только зарегистрироваться, но и подтвердить свою учетную запись при регистрации на сайте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госуслуги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 после чего появится возможность получать государственные услуги в электронном виде.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в работе библиотек остается проектная деятельность. «Десант Победы» - проект районной библиотеки - победитель второго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2023 года Президентского фонда культурных инициатив. Сумма гранта 350 800 рублей. Начало реализации проекта - 1 января 2024 года.  </w:t>
      </w:r>
    </w:p>
    <w:p w:rsidR="000929E7" w:rsidRPr="000929E7" w:rsidRDefault="000929E7" w:rsidP="000929E7">
      <w:pPr>
        <w:shd w:val="clear" w:color="auto" w:fill="FFFFFF"/>
        <w:tabs>
          <w:tab w:val="left" w:pos="1134"/>
        </w:tabs>
        <w:spacing w:after="0"/>
        <w:ind w:left="-284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В Конкурсе общественно значимых проектов первичных отделений Всероссийской политической Партии «Единая Россия» победителями вышли три библиотеки.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проекты получили грант по 15 тыс. руб.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«ДЖЕМ – </w:t>
      </w: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FM</w:t>
      </w: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-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Понинской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библиотеки </w:t>
      </w: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выиграл в конкурсе проектов «</w:t>
      </w:r>
      <w:proofErr w:type="spellStart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Росмолодежь</w:t>
      </w:r>
      <w:proofErr w:type="spellEnd"/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Финансовая поддержка составила 295 тыс. руб. Цель проекта – привлечь молодежь к работе по </w:t>
      </w: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сбору материала о героях гражданской и Великой Отечественной войн - выходцах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Понинского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поселения.</w:t>
      </w:r>
    </w:p>
    <w:p w:rsidR="000929E7" w:rsidRPr="000929E7" w:rsidRDefault="000929E7" w:rsidP="000929E7">
      <w:pPr>
        <w:spacing w:after="0"/>
        <w:ind w:left="-284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29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Библиотеки принимают активное участие в корпоративных проектах: </w:t>
      </w:r>
    </w:p>
    <w:p w:rsidR="000929E7" w:rsidRPr="000929E7" w:rsidRDefault="000929E7" w:rsidP="000929E7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стали победителями конкурсного отбора субъектов РФ на создание модельных библиотек в 2024 г. в целях реализации нацпроекта «Культура». Сумма проекта 8 000 000 руб.</w:t>
      </w:r>
    </w:p>
    <w:p w:rsidR="000929E7" w:rsidRPr="000929E7" w:rsidRDefault="000929E7" w:rsidP="000929E7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 итогам республиканского конкурса на получение денежного поощрения лучшими сельскими учреждениями культуры и лучшими работниками сельских учреждений культуры в 2023 году по итогам работы за 2022 год лучшим сельским учреждением культуры среди библиотек стала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Штанигуртская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сельская библиотека; (106 000 руб.)</w:t>
      </w:r>
    </w:p>
    <w:p w:rsidR="000929E7" w:rsidRPr="000929E7" w:rsidRDefault="000929E7" w:rsidP="000929E7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республиканского конкурса «Лучшая детская библиотека» в номинации «За активную деятельность по продвижению национальной культуры и литературы среди детского населения» стала победителем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Дондыкарская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библиотека;</w:t>
      </w:r>
    </w:p>
    <w:p w:rsidR="000929E7" w:rsidRPr="000929E7" w:rsidRDefault="000929E7" w:rsidP="000929E7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победители регионального этапа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РФ;</w:t>
      </w:r>
    </w:p>
    <w:p w:rsidR="000929E7" w:rsidRPr="000929E7" w:rsidRDefault="000929E7" w:rsidP="000929E7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1 место в Республиканском профессиональном конкурсе «лучший молодой специали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ст в сф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ере культуры»;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Коэффициент удовлетворенности населения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качеством предоставляемых услуг МБУК «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>районная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ЦБС» составил в 2023 г. – 97,1 2022 г -96,5; 2021 г. – 95,1; 2020 г. - 94,4.</w:t>
      </w: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по БУЗ УР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 МЗ УР» находятся следующие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лечебно-профилактические учреждения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ЛПУ):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участковые больницы – 2.</w:t>
      </w:r>
    </w:p>
    <w:p w:rsidR="000929E7" w:rsidRPr="000929E7" w:rsidRDefault="000929E7" w:rsidP="000929E7">
      <w:pPr>
        <w:spacing w:after="0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Дзякинская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УБ;</w:t>
      </w:r>
    </w:p>
    <w:p w:rsidR="000929E7" w:rsidRPr="000929E7" w:rsidRDefault="000929E7" w:rsidP="000929E7">
      <w:pPr>
        <w:spacing w:after="0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УБ.</w:t>
      </w:r>
    </w:p>
    <w:p w:rsidR="000929E7" w:rsidRPr="000929E7" w:rsidRDefault="000929E7" w:rsidP="000929E7">
      <w:pPr>
        <w:spacing w:after="0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врачебные амбулатории – 4.</w:t>
      </w: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-Удмурт-Ключевская;</w:t>
      </w: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-Октябрьская;</w:t>
      </w: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фельдшерско-акушерских пунктов – 25, фельдшеров -22.  Устраивается на работу 4 фельдшера. (2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фельдшеров).</w:t>
      </w:r>
    </w:p>
    <w:p w:rsidR="000929E7" w:rsidRPr="000929E7" w:rsidRDefault="000929E7" w:rsidP="000929E7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Участковых больниц и врачебных амбулаторий находятся: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- 36 коек сестринского ухода (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 -18 коек;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Дзякинская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 – 18 коек);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- 20 койки дневного стационара терапевтического профиля при поликлинике, (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амбулатория – 10 коек;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Дзякинская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 – 5 коек;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 – 5 коек).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зданиях домов культуры размещены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Люмская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амбулатория, 7 фельдшерско-акушерских пунктов; 6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зданиях детских садов,  2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амбулатория  – в зданиях, в которых расположены магазины, квартиры,   В отдельно стоящих зданиях расположены 10 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6 – модульных.   2  амбулатории и 2  участковые больницы в отдельно стоящих зданиях. 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требуется  ремонт или строительство модульных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рубашур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Тат.Парзи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  участковых больниц.  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оптимизации бюджетных средств на коммунальные услуги, уменьшения количества воспитанников детских  садов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ондыкар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Курегово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назрела необходимость освободить помещения, в которых находятся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ФАПы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(строительство модульных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Максимальная отдаленность от районной больницы составляет 57  км. (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Севинский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ФАП),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км. (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ФАП).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Укомплектованность врачами – 71%, фельдшерами – 88%. Без фельдшеров – 5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2023 году поданы заявки на «Земского доктора» и «Земского  фельдшера». По вышеназванным программам на сегодняшний день работают 2 врача: врач общей практики и врач-стоматолог, и 5  фельдшеров.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диспансеризации населения  организованы  выезды в населенные пункты и трудовые коллективы мобильной бригадой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больницы.  В этом году наблюдается прямая взаимосвязь  охвата и качества проводимой диспансеризации и снижением смертности по району. При участии  главного  врача и привлечением кадров в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Глазовскую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межрайонную больницу в этом году 100%-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расшифровка ЭКГ, выявление острых состояний. Неоднократно пациенты были  госпитализированы в стационарные отделения больницы. Совместно с мобильной бригадой выезжает врач-онколог. Выявлено 5 подозрений на  ЗНО. Пациенты направлены на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онкоцентр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15 человек уже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прооперированы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амбулаторных условиях с доброкачественными новообразованиями.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621 человек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диагностическое исследование: УЗИ, КТ,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фиброгастроскопия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консультацию к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пульманологу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чел, к эндокринологу - 18, кардиологу (в республиканский кардиоцентр) - 12, неврологу – 36, дерматологу – 9; на плановое оперативное лечение в стационарных условиях -  8, в амбулаторных условиях -29. На долечивание в санаторий «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направлено – 4 человека. Во время диспансеризации – 2 человека госпитализированы  на скорой медицинской помощи.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в 2023 году профилактические мероприятия должны были пройти 3965 человек, прошли 5920, что составляет 132%.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Осуществлено 10 выездов в трудовые коллективы.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Справочно: по данным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Удмуртстата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на 01.01.2023г в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Глазовском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районе проживает 15428 жителей.</w:t>
      </w:r>
    </w:p>
    <w:p w:rsidR="000929E7" w:rsidRPr="000929E7" w:rsidRDefault="000929E7" w:rsidP="000929E7">
      <w:pPr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За 2022 год умер 295 житель </w:t>
      </w:r>
      <w:proofErr w:type="spellStart"/>
      <w:r w:rsidRPr="000929E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района, в том числе трудоспособного возраста – 37 человек. Показатель общей смертности составлял 19,0 на 1000 населения, по УР-12,6.</w:t>
      </w:r>
    </w:p>
    <w:p w:rsidR="000929E7" w:rsidRPr="000929E7" w:rsidRDefault="000929E7" w:rsidP="000929E7">
      <w:pPr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>За 2023г. умерло 250 человек. Показатель общей смертности составил 16,2 на 1000 населения, по УР – 12,3</w:t>
      </w:r>
    </w:p>
    <w:p w:rsidR="000929E7" w:rsidRPr="000929E7" w:rsidRDefault="000929E7" w:rsidP="000929E7">
      <w:pPr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В структуре причин смертности преобладают </w:t>
      </w:r>
      <w:proofErr w:type="gramStart"/>
      <w:r w:rsidRPr="000929E7">
        <w:rPr>
          <w:rFonts w:ascii="Times New Roman" w:eastAsia="Calibri" w:hAnsi="Times New Roman" w:cs="Times New Roman"/>
          <w:sz w:val="24"/>
          <w:szCs w:val="24"/>
        </w:rPr>
        <w:t>сердечно-сосудистые</w:t>
      </w:r>
      <w:proofErr w:type="gramEnd"/>
      <w:r w:rsidRPr="000929E7">
        <w:rPr>
          <w:rFonts w:ascii="Times New Roman" w:eastAsia="Calibri" w:hAnsi="Times New Roman" w:cs="Times New Roman"/>
          <w:sz w:val="24"/>
          <w:szCs w:val="24"/>
        </w:rPr>
        <w:t xml:space="preserve"> заболевания, злокачественные новообразования, внешние причины. </w:t>
      </w:r>
    </w:p>
    <w:p w:rsidR="000929E7" w:rsidRPr="000929E7" w:rsidRDefault="000929E7" w:rsidP="000929E7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активно велась работа с семьями участников СВО. Со всеми семьями мобилизованных поддерживается связь, созданы чаты в разрезе территориальных отделов.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привлечены все категории населения. Например, организуется сбор средств, вещей на нужды участников СВО, дети готовят письма и рисунки.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мобилизованных проводятся  встречи с Главой с выездом на территорию. Эти встречи продолжаются и в 2024 году.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дровами 67 семей: ООО “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Увадрев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-Холдинг” - 12 семей,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Глазовлес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-филиал АУ УР "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Удмуртлес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" - 52 семьи</w:t>
      </w:r>
      <w:r w:rsidRPr="000929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 по нашему обращению 3 семьи были обеспечены дровами по месту работы мобилизованных. 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встреча родственников мобилизованных с </w:t>
      </w: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Председателем  постоянной комиссии по труду, социальной политике и делам ветеранов Государственного Совета УР, Председателем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РОО "Союз женщин Удмуртской Республики" и  регионального отделения Союза женщин России Удмуртской Республики </w:t>
      </w:r>
      <w:r w:rsidRPr="000929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Е.А.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Дербиловой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Постановление Администрации муниципального образования «Муниципальный округ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22.02.2023 года № 1.36.1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Типового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6" w:history="1">
        <w:r w:rsidRPr="00092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21 сентября 2022 года № 647 «Об объявлении частичной мобилизации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или 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проходящих военную службу по контракту, заключенному в соответствии с </w:t>
      </w:r>
      <w:hyperlink r:id="rId7" w:history="1">
        <w:r w:rsidRPr="000929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 статьи 38</w:t>
        </w:r>
      </w:hyperlink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</w:t>
      </w:r>
      <w:proofErr w:type="gram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Удмуртской Республики», в соответствии с которым </w:t>
      </w: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детей 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освобождены от платы за присмотр и уход за детьми в образовательной организации, реализующей образовательную программу дошкольного образования, в муниципальном образовании «Муниципальный округ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Гуманитарная помощь – 18 отправок 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Окопных свеч отправлено более 3 тыс. штук. </w:t>
      </w:r>
    </w:p>
    <w:p w:rsidR="000929E7" w:rsidRPr="000929E7" w:rsidRDefault="000929E7" w:rsidP="000929E7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13 точек по плетению маскировочных сетей и курируем 2 точки в городе Глазове. Всего сплетено более 5 тыс.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29E7" w:rsidRPr="000929E7" w:rsidRDefault="000929E7" w:rsidP="000929E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фонду Защитники Отчества</w:t>
      </w:r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</w:t>
      </w:r>
      <w:proofErr w:type="spellStart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Глазовскому</w:t>
      </w:r>
      <w:proofErr w:type="spellEnd"/>
      <w:r w:rsidRPr="0009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отработано 550 обращений от 176 человек. В основном это вопросы, касающиеся назначения мер социальной поддержки и денежных выплат, связанных с участием в СВО, а также по предоставлению юридической, социальной, психологической и медицинской помощи. Есть вопросы бытового характера, которые решаются при поддержке волонтерских организаций. Также отрабатываются заявки на участие в культурно-досуговых мероприятиях (посещение зоопарка, аттракционов парка Горького в г. Ижевск, теплохода). Не оставлены без внимания семьи погибших – организованы выезды по решению вопросов медицинского характера и оказания психологической помощи, также идет сбор информации по увековечиванию памяти погибших героев.</w:t>
      </w:r>
    </w:p>
    <w:p w:rsidR="000929E7" w:rsidRPr="000929E7" w:rsidRDefault="000929E7" w:rsidP="000929E7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29E7" w:rsidRPr="000929E7" w:rsidRDefault="000929E7" w:rsidP="000929E7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E1C" w:rsidRDefault="00FB2E1C">
      <w:bookmarkStart w:id="0" w:name="_GoBack"/>
      <w:bookmarkEnd w:id="0"/>
    </w:p>
    <w:sectPr w:rsidR="00FB2E1C" w:rsidSect="00EC5471">
      <w:headerReference w:type="even" r:id="rId8"/>
      <w:headerReference w:type="default" r:id="rId9"/>
      <w:pgSz w:w="11907" w:h="16840" w:code="9"/>
      <w:pgMar w:top="567" w:right="567" w:bottom="567" w:left="1701" w:header="720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02" w:rsidRDefault="000929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402" w:rsidRDefault="000929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02" w:rsidRPr="00A75D6D" w:rsidRDefault="000929E7" w:rsidP="00A75D6D">
    <w:pPr>
      <w:pStyle w:val="a3"/>
      <w:framePr w:wrap="around" w:vAnchor="text" w:hAnchor="margin" w:xAlign="center" w:y="1"/>
      <w:rPr>
        <w:rStyle w:val="a5"/>
        <w:lang w:val="ru-RU"/>
      </w:rPr>
    </w:pPr>
  </w:p>
  <w:p w:rsidR="00C42402" w:rsidRDefault="000929E7" w:rsidP="00A75D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3B1"/>
    <w:multiLevelType w:val="hybridMultilevel"/>
    <w:tmpl w:val="4FB6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237E"/>
    <w:multiLevelType w:val="hybridMultilevel"/>
    <w:tmpl w:val="A6D6F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D42E5"/>
    <w:multiLevelType w:val="hybridMultilevel"/>
    <w:tmpl w:val="5EAC820E"/>
    <w:lvl w:ilvl="0" w:tplc="8F9492BA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51706"/>
    <w:multiLevelType w:val="hybridMultilevel"/>
    <w:tmpl w:val="017665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8187D6D"/>
    <w:multiLevelType w:val="hybridMultilevel"/>
    <w:tmpl w:val="466E635E"/>
    <w:lvl w:ilvl="0" w:tplc="DA8834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3625B2"/>
    <w:multiLevelType w:val="hybridMultilevel"/>
    <w:tmpl w:val="5ED81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AB00E3"/>
    <w:multiLevelType w:val="hybridMultilevel"/>
    <w:tmpl w:val="44AE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54A12"/>
    <w:multiLevelType w:val="hybridMultilevel"/>
    <w:tmpl w:val="8F564482"/>
    <w:lvl w:ilvl="0" w:tplc="214CB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516447"/>
    <w:multiLevelType w:val="hybridMultilevel"/>
    <w:tmpl w:val="AE70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20"/>
    <w:rsid w:val="000929E7"/>
    <w:rsid w:val="00C62D20"/>
    <w:rsid w:val="00F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9E7"/>
    <w:pPr>
      <w:tabs>
        <w:tab w:val="center" w:pos="4677"/>
        <w:tab w:val="right" w:pos="9355"/>
      </w:tabs>
      <w:spacing w:after="0"/>
      <w:ind w:left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929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rsid w:val="00092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9E7"/>
    <w:pPr>
      <w:tabs>
        <w:tab w:val="center" w:pos="4677"/>
        <w:tab w:val="right" w:pos="9355"/>
      </w:tabs>
      <w:spacing w:after="0"/>
      <w:ind w:left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929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rsid w:val="0009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55698AB28D17E002D77D9EBA94FA9FB7FAEB9DF67D25145143C79CFA057BAE8DD4EB6941B9B1107A63D1D0B966V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5532</Words>
  <Characters>31537</Characters>
  <Application>Microsoft Office Word</Application>
  <DocSecurity>0</DocSecurity>
  <Lines>262</Lines>
  <Paragraphs>73</Paragraphs>
  <ScaleCrop>false</ScaleCrop>
  <Company/>
  <LinksUpToDate>false</LinksUpToDate>
  <CharactersWithSpaces>36996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2025-03-14T11:47:00Z</dcterms:created>
  <dcterms:modified xsi:type="dcterms:W3CDTF">2025-03-14T11:47:00Z</dcterms:modified>
</cp:coreProperties>
</file>