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850" w:rsidRPr="00236850" w:rsidRDefault="00236850" w:rsidP="00236850">
      <w:pPr>
        <w:widowControl/>
        <w:suppressAutoHyphens w:val="0"/>
        <w:textAlignment w:val="auto"/>
        <w:rPr>
          <w:rFonts w:eastAsia="Calibri" w:cs="Times New Roman"/>
          <w:b/>
          <w:kern w:val="0"/>
          <w:lang w:val="ru-RU" w:eastAsia="ru-RU" w:bidi="ar-SA"/>
        </w:rPr>
      </w:pPr>
      <w:r w:rsidRPr="00236850">
        <w:rPr>
          <w:rFonts w:eastAsia="Calibri" w:cs="Times New Roman"/>
          <w:b/>
          <w:kern w:val="0"/>
          <w:lang w:val="ru-RU" w:eastAsia="ru-RU" w:bidi="ar-SA"/>
        </w:rPr>
        <w:t xml:space="preserve">Форма 2. </w:t>
      </w:r>
      <w:hyperlink r:id="rId6" w:history="1">
        <w:r w:rsidRPr="00236850">
          <w:rPr>
            <w:rFonts w:ascii="Calibri" w:eastAsia="Calibri" w:hAnsi="Calibri" w:cs="Times New Roman"/>
            <w:b/>
            <w:color w:val="0000FF"/>
            <w:kern w:val="0"/>
            <w:u w:val="single"/>
            <w:lang w:val="ru-RU" w:eastAsia="en-US" w:bidi="ar-SA"/>
          </w:rPr>
          <w:t>Отчет</w:t>
        </w:r>
      </w:hyperlink>
      <w:r w:rsidRPr="00236850">
        <w:rPr>
          <w:rFonts w:eastAsia="Calibri" w:cs="Times New Roman"/>
          <w:b/>
          <w:kern w:val="0"/>
          <w:lang w:val="ru-RU" w:eastAsia="ru-RU" w:bidi="ar-SA"/>
        </w:rPr>
        <w:t xml:space="preserve"> о выполнении основных мероприятий муниципальной программы </w:t>
      </w:r>
      <w:r w:rsidRPr="004626A2">
        <w:rPr>
          <w:rFonts w:eastAsia="Times New Roman"/>
          <w:b/>
          <w:lang w:eastAsia="ru-RU"/>
        </w:rPr>
        <w:t>«</w:t>
      </w:r>
      <w:proofErr w:type="spellStart"/>
      <w:r w:rsidRPr="004626A2">
        <w:rPr>
          <w:rFonts w:eastAsia="Times New Roman"/>
          <w:b/>
          <w:lang w:eastAsia="ru-RU"/>
        </w:rPr>
        <w:t>Сохранение</w:t>
      </w:r>
      <w:proofErr w:type="spellEnd"/>
      <w:r w:rsidRPr="004626A2">
        <w:rPr>
          <w:rFonts w:eastAsia="Times New Roman"/>
          <w:b/>
          <w:lang w:eastAsia="ru-RU"/>
        </w:rPr>
        <w:t xml:space="preserve"> </w:t>
      </w:r>
      <w:proofErr w:type="spellStart"/>
      <w:r w:rsidRPr="004626A2">
        <w:rPr>
          <w:rFonts w:eastAsia="Times New Roman"/>
          <w:b/>
          <w:lang w:eastAsia="ru-RU"/>
        </w:rPr>
        <w:t>здоровья</w:t>
      </w:r>
      <w:proofErr w:type="spellEnd"/>
      <w:r w:rsidRPr="004626A2">
        <w:rPr>
          <w:rFonts w:eastAsia="Times New Roman"/>
          <w:b/>
          <w:lang w:eastAsia="ru-RU"/>
        </w:rPr>
        <w:t xml:space="preserve"> и </w:t>
      </w:r>
      <w:proofErr w:type="spellStart"/>
      <w:r w:rsidRPr="004626A2">
        <w:rPr>
          <w:rFonts w:eastAsia="Times New Roman"/>
          <w:b/>
          <w:lang w:eastAsia="ru-RU"/>
        </w:rPr>
        <w:t>формирование</w:t>
      </w:r>
      <w:proofErr w:type="spellEnd"/>
      <w:r w:rsidRPr="004626A2">
        <w:rPr>
          <w:rFonts w:eastAsia="Times New Roman"/>
          <w:b/>
          <w:lang w:eastAsia="ru-RU"/>
        </w:rPr>
        <w:t xml:space="preserve"> </w:t>
      </w:r>
      <w:proofErr w:type="spellStart"/>
      <w:r w:rsidRPr="004626A2">
        <w:rPr>
          <w:rFonts w:eastAsia="Times New Roman"/>
          <w:b/>
          <w:lang w:eastAsia="ru-RU"/>
        </w:rPr>
        <w:t>здорового</w:t>
      </w:r>
      <w:proofErr w:type="spellEnd"/>
      <w:r w:rsidRPr="004626A2">
        <w:rPr>
          <w:rFonts w:eastAsia="Times New Roman"/>
          <w:b/>
          <w:lang w:eastAsia="ru-RU"/>
        </w:rPr>
        <w:t xml:space="preserve"> </w:t>
      </w:r>
      <w:proofErr w:type="spellStart"/>
      <w:r w:rsidRPr="004626A2">
        <w:rPr>
          <w:rFonts w:eastAsia="Times New Roman"/>
          <w:b/>
          <w:lang w:eastAsia="ru-RU"/>
        </w:rPr>
        <w:t>образа</w:t>
      </w:r>
      <w:proofErr w:type="spellEnd"/>
      <w:r w:rsidRPr="004626A2">
        <w:rPr>
          <w:rFonts w:eastAsia="Times New Roman"/>
          <w:b/>
          <w:lang w:eastAsia="ru-RU"/>
        </w:rPr>
        <w:t xml:space="preserve"> </w:t>
      </w:r>
      <w:proofErr w:type="spellStart"/>
      <w:r w:rsidRPr="004626A2">
        <w:rPr>
          <w:rFonts w:eastAsia="Times New Roman"/>
          <w:b/>
          <w:lang w:eastAsia="ru-RU"/>
        </w:rPr>
        <w:t>жизни</w:t>
      </w:r>
      <w:proofErr w:type="spellEnd"/>
      <w:r w:rsidRPr="004626A2">
        <w:rPr>
          <w:rFonts w:eastAsia="Times New Roman"/>
          <w:b/>
          <w:lang w:eastAsia="ru-RU"/>
        </w:rPr>
        <w:t xml:space="preserve"> </w:t>
      </w:r>
      <w:proofErr w:type="spellStart"/>
      <w:r w:rsidRPr="004626A2">
        <w:rPr>
          <w:rFonts w:eastAsia="Times New Roman"/>
          <w:b/>
          <w:lang w:eastAsia="ru-RU"/>
        </w:rPr>
        <w:t>населения</w:t>
      </w:r>
      <w:proofErr w:type="spellEnd"/>
      <w:r w:rsidRPr="004626A2">
        <w:rPr>
          <w:rFonts w:eastAsia="Times New Roman"/>
          <w:b/>
          <w:lang w:eastAsia="ru-RU"/>
        </w:rPr>
        <w:t>»</w:t>
      </w:r>
      <w:r>
        <w:rPr>
          <w:rFonts w:eastAsia="Times New Roman"/>
          <w:b/>
          <w:lang w:val="ru-RU" w:eastAsia="ru-RU"/>
        </w:rPr>
        <w:t xml:space="preserve"> за 2020 год</w:t>
      </w:r>
      <w:bookmarkStart w:id="0" w:name="_GoBack"/>
      <w:bookmarkEnd w:id="0"/>
    </w:p>
    <w:p w:rsidR="00236850" w:rsidRPr="000A0044" w:rsidRDefault="00236850" w:rsidP="00236850">
      <w:pPr>
        <w:widowControl/>
        <w:suppressAutoHyphens w:val="0"/>
        <w:textAlignment w:val="auto"/>
        <w:rPr>
          <w:rFonts w:eastAsia="Calibri" w:cs="Times New Roman"/>
          <w:kern w:val="0"/>
          <w:sz w:val="20"/>
          <w:szCs w:val="20"/>
          <w:lang w:val="ru-RU" w:eastAsia="ru-RU" w:bidi="ar-SA"/>
        </w:rPr>
      </w:pPr>
    </w:p>
    <w:tbl>
      <w:tblPr>
        <w:tblW w:w="14332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7"/>
        <w:gridCol w:w="702"/>
        <w:gridCol w:w="15"/>
        <w:gridCol w:w="556"/>
        <w:gridCol w:w="11"/>
        <w:gridCol w:w="558"/>
        <w:gridCol w:w="9"/>
        <w:gridCol w:w="559"/>
        <w:gridCol w:w="8"/>
        <w:gridCol w:w="2824"/>
        <w:gridCol w:w="11"/>
        <w:gridCol w:w="2256"/>
        <w:gridCol w:w="12"/>
        <w:gridCol w:w="1410"/>
        <w:gridCol w:w="8"/>
        <w:gridCol w:w="1557"/>
        <w:gridCol w:w="1985"/>
        <w:gridCol w:w="1844"/>
      </w:tblGrid>
      <w:tr w:rsidR="00236850" w:rsidRPr="000A0044" w:rsidTr="00B95943">
        <w:trPr>
          <w:gridBefore w:val="1"/>
          <w:wBefore w:w="7" w:type="dxa"/>
          <w:trHeight w:val="945"/>
        </w:trPr>
        <w:tc>
          <w:tcPr>
            <w:tcW w:w="2410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Код аналитической программной классификации</w:t>
            </w:r>
          </w:p>
        </w:tc>
        <w:tc>
          <w:tcPr>
            <w:tcW w:w="283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42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Срок выполнения плановый </w:t>
            </w:r>
          </w:p>
        </w:tc>
        <w:tc>
          <w:tcPr>
            <w:tcW w:w="156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Срок выполнения фактический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Ожидаемый непосредственный результат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Достигнутый результат</w:t>
            </w:r>
          </w:p>
        </w:tc>
      </w:tr>
      <w:tr w:rsidR="00236850" w:rsidRPr="000A0044" w:rsidTr="00B95943">
        <w:trPr>
          <w:gridBefore w:val="1"/>
          <w:wBefore w:w="7" w:type="dxa"/>
          <w:trHeight w:val="34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МП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proofErr w:type="spellStart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Пп</w:t>
            </w:r>
            <w:proofErr w:type="spellEnd"/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ОМ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</w:t>
            </w:r>
          </w:p>
        </w:tc>
        <w:tc>
          <w:tcPr>
            <w:tcW w:w="283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2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236850" w:rsidRPr="000A0044" w:rsidTr="00B95943">
        <w:trPr>
          <w:gridBefore w:val="1"/>
          <w:wBefore w:w="7" w:type="dxa"/>
          <w:trHeight w:val="48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val="ru-RU" w:eastAsia="en-US" w:bidi="ar-SA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val="ru-RU" w:eastAsia="en-US" w:bidi="ar-SA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val="ru-RU" w:eastAsia="en-US" w:bidi="ar-SA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val="ru-RU" w:eastAsia="en-US" w:bidi="ar-SA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val="ru-RU" w:eastAsia="en-US" w:bidi="ar-SA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val="ru-RU" w:eastAsia="en-US" w:bidi="ar-SA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236850" w:rsidRPr="000A0044" w:rsidTr="00B95943">
        <w:trPr>
          <w:gridBefore w:val="1"/>
          <w:wBefore w:w="7" w:type="dxa"/>
          <w:trHeight w:val="48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02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Создание условий  для развития  физической культуры и спорта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Отдел культуры, молодежной политики, физкультуры и спорта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выполнено</w:t>
            </w:r>
          </w:p>
        </w:tc>
      </w:tr>
      <w:tr w:rsidR="00236850" w:rsidRPr="000A0044" w:rsidTr="00B95943">
        <w:trPr>
          <w:gridBefore w:val="1"/>
          <w:wBefore w:w="7" w:type="dxa"/>
          <w:trHeight w:val="48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02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Нормативно – правовая деятельность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выполнено</w:t>
            </w:r>
          </w:p>
        </w:tc>
      </w:tr>
      <w:tr w:rsidR="00236850" w:rsidRPr="000A0044" w:rsidTr="00B95943">
        <w:trPr>
          <w:gridBefore w:val="1"/>
          <w:wBefore w:w="7" w:type="dxa"/>
          <w:trHeight w:val="48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02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Разработка      положения и проведение смотра –  конкурса по организации спортивно-массовой работы и подведения итогов среди муниципальных образований. 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Отдел физической культуры и спорта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Сентябрь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Сентябрь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выполнено</w:t>
            </w:r>
          </w:p>
        </w:tc>
      </w:tr>
      <w:tr w:rsidR="00236850" w:rsidRPr="000A0044" w:rsidTr="00B95943">
        <w:trPr>
          <w:gridBefore w:val="1"/>
          <w:wBefore w:w="7" w:type="dxa"/>
          <w:trHeight w:val="48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02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Разработка    программы “Физкультура и спорт </w:t>
            </w:r>
            <w:proofErr w:type="spellStart"/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Глазовского</w:t>
            </w:r>
            <w:proofErr w:type="spellEnd"/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 района на 2015 – 2020 гг.”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Default="00236850" w:rsidP="00B95943">
            <w:r w:rsidRPr="00A07D1E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Отдел культуры, молодежной политики, физкультуры и спорта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Март </w:t>
            </w: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2014г.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Март </w:t>
            </w: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2014г.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выполнено</w:t>
            </w:r>
          </w:p>
        </w:tc>
      </w:tr>
      <w:tr w:rsidR="00236850" w:rsidRPr="000A0044" w:rsidTr="00B95943">
        <w:trPr>
          <w:gridBefore w:val="1"/>
          <w:wBefore w:w="7" w:type="dxa"/>
          <w:trHeight w:val="48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02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3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Разработка  положений о проведении районных  соревнований по различным видам спорта.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Default="00236850" w:rsidP="00B95943">
            <w:r w:rsidRPr="00A07D1E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Отдел культуры, молодежной политики, физкультуры и спорта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по отд. плану</w:t>
            </w: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2015 – 2020 гг.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по отд. плану</w:t>
            </w: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2015 – 2020 гг.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выполнено</w:t>
            </w:r>
          </w:p>
        </w:tc>
      </w:tr>
      <w:tr w:rsidR="00236850" w:rsidRPr="000A0044" w:rsidTr="00B95943">
        <w:trPr>
          <w:gridBefore w:val="1"/>
          <w:wBefore w:w="7" w:type="dxa"/>
          <w:trHeight w:val="48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02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02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Организационно-кадровая и учебно-методическая </w:t>
            </w: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lastRenderedPageBreak/>
              <w:t>деятельность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Default="00236850" w:rsidP="00B95943">
            <w:r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lastRenderedPageBreak/>
              <w:t xml:space="preserve"> 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Подготовка специалистов для организации и </w:t>
            </w: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lastRenderedPageBreak/>
              <w:t>координации межведомственной работы муниципальных органов власти по 1вопросам общественного здоровья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lastRenderedPageBreak/>
              <w:t>выполнено</w:t>
            </w:r>
          </w:p>
        </w:tc>
      </w:tr>
      <w:tr w:rsidR="00236850" w:rsidRPr="000A0044" w:rsidTr="00B95943">
        <w:trPr>
          <w:gridBefore w:val="1"/>
          <w:wBefore w:w="7" w:type="dxa"/>
          <w:trHeight w:val="48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lastRenderedPageBreak/>
              <w:t>02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02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Организационная и финансовая поддержка работы общественных  Советов по физкультуре и спорту в муниципальных образованиях района.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Default="00236850" w:rsidP="00B95943">
            <w:r w:rsidRPr="00A07D1E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Отдел культуры, молодежной политики, физкультуры и спорта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 течение</w:t>
            </w: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года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 течение</w:t>
            </w: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года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выполнено</w:t>
            </w:r>
          </w:p>
        </w:tc>
      </w:tr>
      <w:tr w:rsidR="00236850" w:rsidRPr="000A0044" w:rsidTr="00B95943">
        <w:trPr>
          <w:gridBefore w:val="1"/>
          <w:wBefore w:w="7" w:type="dxa"/>
          <w:trHeight w:val="48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02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02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3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Участие в работе комиссии по делам несовершенных и защите их прав.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Default="00236850" w:rsidP="00B95943">
            <w:r w:rsidRPr="00AB10EA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Отдел культуры, молодежной политики, физкультуры и спорта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 течение</w:t>
            </w: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года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выполнено</w:t>
            </w:r>
          </w:p>
        </w:tc>
      </w:tr>
      <w:tr w:rsidR="00236850" w:rsidRPr="000A0044" w:rsidTr="00B95943">
        <w:trPr>
          <w:gridBefore w:val="1"/>
          <w:wBefore w:w="7" w:type="dxa"/>
          <w:trHeight w:val="48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02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02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4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Инструктивно-методические семинары по вопросам организации работы спортивных секций для тренеров-преподавателей ДЮСШ.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Default="00236850" w:rsidP="00B95943">
            <w:r w:rsidRPr="00AB10EA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Отдел культуры, молодежной политики, физкультуры и спорта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 раз в квартал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 раз в квартал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выполнено</w:t>
            </w:r>
          </w:p>
        </w:tc>
      </w:tr>
      <w:tr w:rsidR="00236850" w:rsidRPr="000A0044" w:rsidTr="00B95943">
        <w:trPr>
          <w:gridBefore w:val="1"/>
          <w:wBefore w:w="7" w:type="dxa"/>
          <w:trHeight w:val="48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02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02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5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Методические семинары для председателей общественных Советов по физкультуре и спорту   муниципальных </w:t>
            </w:r>
            <w:proofErr w:type="gramStart"/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образованиях</w:t>
            </w:r>
            <w:proofErr w:type="gramEnd"/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Default="00236850" w:rsidP="00B95943">
            <w:r w:rsidRPr="00AB10EA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Отдел культуры, молодежной политики, физкультуры и спорта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 раз в квартал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 раз в квартал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выполнено</w:t>
            </w:r>
          </w:p>
        </w:tc>
      </w:tr>
      <w:tr w:rsidR="00236850" w:rsidRPr="000A0044" w:rsidTr="00B95943">
        <w:trPr>
          <w:gridBefore w:val="1"/>
          <w:wBefore w:w="7" w:type="dxa"/>
          <w:trHeight w:val="48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02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02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6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Инструктивно-методические семинары для членов общественных советов по физкультуре и спорту при муниципальных образованиях по вопросам организации </w:t>
            </w: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lastRenderedPageBreak/>
              <w:t>спортивно-массовой работы.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Default="00236850" w:rsidP="00B95943">
            <w:r w:rsidRPr="00AB10EA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lastRenderedPageBreak/>
              <w:t>Отдел культуры, молодежной политики, физкультуры и спорта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 раз в месяц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 раз в месяц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выполнено</w:t>
            </w:r>
          </w:p>
        </w:tc>
      </w:tr>
      <w:tr w:rsidR="00236850" w:rsidRPr="000A0044" w:rsidTr="00B95943">
        <w:trPr>
          <w:gridBefore w:val="1"/>
          <w:wBefore w:w="7" w:type="dxa"/>
          <w:trHeight w:val="48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lastRenderedPageBreak/>
              <w:t>02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02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7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Участие в республиканских семинарах по вопросам развития физической культуры и спорта и туризма.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Default="00236850" w:rsidP="00B95943">
            <w:r w:rsidRPr="00AB10EA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Отдел культуры, молодежной политики, физкультуры и спорта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По плану Министерства спорта УР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По плану Министерства спорта УР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выполнено</w:t>
            </w:r>
          </w:p>
        </w:tc>
      </w:tr>
      <w:tr w:rsidR="00236850" w:rsidRPr="000A0044" w:rsidTr="00B95943">
        <w:trPr>
          <w:gridBefore w:val="1"/>
          <w:wBefore w:w="7" w:type="dxa"/>
          <w:trHeight w:val="48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02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Информационно-исследовательская деятельность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Создание информационного пространства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выполнено</w:t>
            </w:r>
          </w:p>
        </w:tc>
      </w:tr>
      <w:tr w:rsidR="00236850" w:rsidRPr="000A0044" w:rsidTr="00B95943">
        <w:trPr>
          <w:gridBefore w:val="1"/>
          <w:wBefore w:w="7" w:type="dxa"/>
          <w:trHeight w:val="48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02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Информирование об организации и проведении районных спортивных мероприятий в Молодежной страничке газеты “Мой город”, «</w:t>
            </w:r>
            <w:proofErr w:type="spellStart"/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Иднакар</w:t>
            </w:r>
            <w:proofErr w:type="spellEnd"/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», «Калина красная».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Отдел культуры, молодежной политики, физкультуры и спорта.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  ежемесячно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ежемесячно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выполнено</w:t>
            </w:r>
          </w:p>
        </w:tc>
      </w:tr>
      <w:tr w:rsidR="00236850" w:rsidRPr="000A0044" w:rsidTr="00B95943">
        <w:trPr>
          <w:gridBefore w:val="1"/>
          <w:wBefore w:w="7" w:type="dxa"/>
          <w:trHeight w:val="48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02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Информирование об организации и проведении спортивных мероприятий в районе через ТРК “Глазов”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Отдел культуры, молодежной политики, физкультуры и спорта.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  ежемесячно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  ежемесячно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Не выполнено</w:t>
            </w:r>
          </w:p>
        </w:tc>
      </w:tr>
      <w:tr w:rsidR="00236850" w:rsidRPr="000A0044" w:rsidTr="00B95943">
        <w:trPr>
          <w:gridBefore w:val="1"/>
          <w:wBefore w:w="7" w:type="dxa"/>
          <w:trHeight w:val="48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02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3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Проведение социологических исследований среди населения по вопросам развития физической культуры и спорта.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Отдел культуры, молодежной политики, физкультуры и спорта.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 течение</w:t>
            </w: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года</w:t>
            </w: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 течение</w:t>
            </w: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года</w:t>
            </w: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Не выполнено</w:t>
            </w:r>
          </w:p>
        </w:tc>
      </w:tr>
      <w:tr w:rsidR="00236850" w:rsidRPr="000A0044" w:rsidTr="00B95943">
        <w:trPr>
          <w:gridBefore w:val="1"/>
          <w:wBefore w:w="7" w:type="dxa"/>
          <w:trHeight w:val="48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02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Мероприятия в области физической культуры и спорта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Default="00236850" w:rsidP="00B95943">
            <w:r w:rsidRPr="008E3A93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Отдел культуры, молодежной политики, физкультуры и спорта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По отдельному плану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По отдельному плану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Привлечение различных категорий населения к занятию физической культурой и спортом путем участия в физкультурных и </w:t>
            </w: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lastRenderedPageBreak/>
              <w:t>спортивных мероприятиях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lastRenderedPageBreak/>
              <w:t>выполнено</w:t>
            </w:r>
          </w:p>
        </w:tc>
      </w:tr>
      <w:tr w:rsidR="00236850" w:rsidRPr="000A0044" w:rsidTr="00B95943">
        <w:trPr>
          <w:gridBefore w:val="1"/>
          <w:wBefore w:w="7" w:type="dxa"/>
          <w:trHeight w:val="48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lastRenderedPageBreak/>
              <w:t>02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Укрепление материально-технической базы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Default="00236850" w:rsidP="00B95943">
            <w:r w:rsidRPr="008E3A93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Отдел культуры, молодежной политики, физкультуры и спорта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 течение года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Развитие сети спортивных сооружений, доступной для различных категорий и групп населения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выполнено</w:t>
            </w:r>
          </w:p>
        </w:tc>
      </w:tr>
      <w:tr w:rsidR="00236850" w:rsidRPr="000A0044" w:rsidTr="00B95943">
        <w:trPr>
          <w:gridBefore w:val="1"/>
          <w:wBefore w:w="7" w:type="dxa"/>
          <w:trHeight w:val="48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02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06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Проведение тестирования населения в рамках Всероссийского физкультурно-спортивного комплекса «Готов к труду и обороне»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Default="00236850" w:rsidP="00B95943">
            <w:r w:rsidRPr="008E3A93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Отдел культуры, молодежной политики, физкультуры и спорта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 течени</w:t>
            </w:r>
            <w:proofErr w:type="gramStart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и</w:t>
            </w:r>
            <w:proofErr w:type="gramEnd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года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 течени</w:t>
            </w:r>
            <w:proofErr w:type="gramStart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и</w:t>
            </w:r>
            <w:proofErr w:type="gramEnd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Привлечение различных категорий населения к занятию физической культурой и спортом путем проведения тестов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выполнено</w:t>
            </w:r>
          </w:p>
        </w:tc>
      </w:tr>
      <w:tr w:rsidR="00236850" w:rsidRPr="000A0044" w:rsidTr="00B95943">
        <w:trPr>
          <w:gridBefore w:val="1"/>
          <w:wBefore w:w="7" w:type="dxa"/>
          <w:trHeight w:val="48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ascii="Calibri" w:eastAsia="Calibri" w:hAnsi="Calibri" w:cs="Times New Roman"/>
                <w:kern w:val="0"/>
                <w:sz w:val="22"/>
                <w:szCs w:val="22"/>
                <w:lang w:val="ru-RU" w:eastAsia="en-US" w:bidi="ar-SA"/>
              </w:rPr>
              <w:t>02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ascii="Calibri" w:eastAsia="Calibri" w:hAnsi="Calibri" w:cs="Times New Roman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val="ru-RU" w:eastAsia="en-US" w:bidi="ar-SA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val="ru-RU" w:eastAsia="en-US" w:bidi="ar-SA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3E21AD" w:rsidRDefault="00236850" w:rsidP="00B95943">
            <w:pPr>
              <w:widowControl/>
              <w:suppressAutoHyphens w:val="0"/>
              <w:spacing w:after="160"/>
              <w:textAlignment w:val="auto"/>
              <w:rPr>
                <w:rFonts w:eastAsia="Calibri" w:cs="Times New Roman"/>
                <w:b/>
                <w:kern w:val="0"/>
                <w:sz w:val="20"/>
                <w:szCs w:val="20"/>
                <w:lang w:val="ru-RU" w:eastAsia="en-US" w:bidi="ar-SA"/>
              </w:rPr>
            </w:pPr>
            <w:r w:rsidRPr="003E21AD">
              <w:rPr>
                <w:rFonts w:eastAsia="Calibri" w:cs="Times New Roman"/>
                <w:b/>
                <w:kern w:val="0"/>
                <w:sz w:val="20"/>
                <w:szCs w:val="20"/>
                <w:lang w:val="ru-RU" w:eastAsia="en-US" w:bidi="ar-SA"/>
              </w:rPr>
              <w:t>Проведение мероприятий по оказанию медицинской помощи населению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val="ru-RU" w:eastAsia="en-US" w:bidi="ar-SA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236850" w:rsidRPr="000A0044" w:rsidTr="00B95943">
        <w:trPr>
          <w:trHeight w:val="282"/>
        </w:trPr>
        <w:tc>
          <w:tcPr>
            <w:tcW w:w="72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0</w:t>
            </w: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b/>
                <w:kern w:val="0"/>
                <w:sz w:val="18"/>
                <w:szCs w:val="18"/>
                <w:lang w:val="ru-RU" w:eastAsia="en-US" w:bidi="ar-SA"/>
              </w:rPr>
              <w:t xml:space="preserve">Создание условий для оказания медицинской помощи населению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</w:tr>
      <w:tr w:rsidR="00236850" w:rsidRPr="000A0044" w:rsidTr="00B95943">
        <w:trPr>
          <w:trHeight w:val="282"/>
        </w:trPr>
        <w:tc>
          <w:tcPr>
            <w:tcW w:w="72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01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Предоставление БУЗ «</w:t>
            </w:r>
            <w:proofErr w:type="spellStart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Глазовская</w:t>
            </w:r>
            <w:proofErr w:type="spellEnd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 районная больница  МЗ УР»  в безвозмездное пользование имущества, находящегося  в муниципальной собственности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Администрация МО «</w:t>
            </w:r>
            <w:proofErr w:type="spellStart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Глазовский</w:t>
            </w:r>
            <w:proofErr w:type="spellEnd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район»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в течение года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в течение года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Предоставление в безвозмездное пользование  помещений под размещение ФАП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 В 20</w:t>
            </w: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20</w:t>
            </w: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году предоставлена земля под строительство модульного </w:t>
            </w:r>
            <w:proofErr w:type="spellStart"/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ФАПа</w:t>
            </w:r>
            <w:proofErr w:type="spellEnd"/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в  </w:t>
            </w:r>
            <w:proofErr w:type="spellStart"/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д</w:t>
            </w:r>
            <w:proofErr w:type="gramStart"/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.Ч</w:t>
            </w:r>
            <w:proofErr w:type="gramEnd"/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иргино</w:t>
            </w:r>
            <w:proofErr w:type="spellEnd"/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, </w:t>
            </w:r>
            <w:proofErr w:type="spellStart"/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Чура</w:t>
            </w:r>
            <w:proofErr w:type="spellEnd"/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</w:t>
            </w: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,</w:t>
            </w:r>
            <w:proofErr w:type="spellStart"/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Верх.Богатырка</w:t>
            </w:r>
            <w:proofErr w:type="spellEnd"/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.</w:t>
            </w: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ФАП построен в </w:t>
            </w:r>
            <w:proofErr w:type="spellStart"/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п</w:t>
            </w:r>
            <w:proofErr w:type="gramStart"/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.С</w:t>
            </w:r>
            <w:proofErr w:type="gramEnd"/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ева</w:t>
            </w:r>
            <w:proofErr w:type="spellEnd"/>
          </w:p>
        </w:tc>
      </w:tr>
      <w:tr w:rsidR="00236850" w:rsidRPr="000A0044" w:rsidTr="00B95943">
        <w:trPr>
          <w:trHeight w:val="282"/>
        </w:trPr>
        <w:tc>
          <w:tcPr>
            <w:tcW w:w="72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02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Формирование банка данных о наличии вакантных мест в БУЗ УР «</w:t>
            </w:r>
            <w:proofErr w:type="spellStart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Глазовская</w:t>
            </w:r>
            <w:proofErr w:type="spellEnd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 районная больница  МЗ УР», посещение ИГМА, медицинских колледжей </w:t>
            </w: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lastRenderedPageBreak/>
              <w:t>с целью привлечения выпускников для работы в районе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lastRenderedPageBreak/>
              <w:t>Администрация МО «</w:t>
            </w:r>
            <w:proofErr w:type="spellStart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Глазовский</w:t>
            </w:r>
            <w:proofErr w:type="spellEnd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 район»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в течение года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в течение года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Привлечение молодых специалистов для работы в БУЗ УР «</w:t>
            </w:r>
            <w:proofErr w:type="spellStart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Глазовская</w:t>
            </w:r>
            <w:proofErr w:type="spellEnd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РБ МЗ </w:t>
            </w: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lastRenderedPageBreak/>
              <w:t>УР»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lastRenderedPageBreak/>
              <w:t xml:space="preserve"> банк данных о наличии  вакантных мест в </w:t>
            </w:r>
            <w:proofErr w:type="spellStart"/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Глазовской</w:t>
            </w:r>
            <w:proofErr w:type="spellEnd"/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межрайонной больнице </w:t>
            </w: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lastRenderedPageBreak/>
              <w:t>сформирован</w:t>
            </w: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организованы встречи со студентами медицинского колледжа. Также приняли участие   на «круглом столе» с директором Ижевского медицинского колледжа и представителями </w:t>
            </w:r>
            <w:proofErr w:type="spellStart"/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Глазовской</w:t>
            </w:r>
            <w:proofErr w:type="spellEnd"/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</w:t>
            </w:r>
            <w:proofErr w:type="spellStart"/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межрайонноой</w:t>
            </w:r>
            <w:proofErr w:type="spellEnd"/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больницы</w:t>
            </w:r>
          </w:p>
        </w:tc>
      </w:tr>
      <w:tr w:rsidR="00236850" w:rsidRPr="000A0044" w:rsidTr="00B95943">
        <w:trPr>
          <w:trHeight w:val="282"/>
        </w:trPr>
        <w:tc>
          <w:tcPr>
            <w:tcW w:w="72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lastRenderedPageBreak/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03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Организация </w:t>
            </w:r>
            <w:proofErr w:type="spellStart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профориентационной</w:t>
            </w:r>
            <w:proofErr w:type="spellEnd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работы среди учащихся школ района на медицинские специальности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Администрация МО «</w:t>
            </w:r>
            <w:proofErr w:type="spellStart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Глазовский</w:t>
            </w:r>
            <w:proofErr w:type="spellEnd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 район»</w:t>
            </w:r>
          </w:p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БУЗ  УР «</w:t>
            </w:r>
            <w:proofErr w:type="spellStart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Глазовская</w:t>
            </w:r>
            <w:proofErr w:type="spellEnd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 районная больница  МЗ УР»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в течение года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в течение года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 Профориентация на медицинские специальности с дальнейшим трудоустройством в БУЗ УР «</w:t>
            </w:r>
            <w:proofErr w:type="spellStart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Глазовская</w:t>
            </w:r>
            <w:proofErr w:type="spellEnd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РБ МЗ УР»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В средних школах района прошли встречи с фельдшерами </w:t>
            </w:r>
            <w:proofErr w:type="spellStart"/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ФАПов</w:t>
            </w:r>
            <w:proofErr w:type="spellEnd"/>
          </w:p>
        </w:tc>
      </w:tr>
      <w:tr w:rsidR="00236850" w:rsidRPr="000A0044" w:rsidTr="00B95943">
        <w:trPr>
          <w:trHeight w:val="282"/>
        </w:trPr>
        <w:tc>
          <w:tcPr>
            <w:tcW w:w="72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04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Обеспечение граждан на территории МО «</w:t>
            </w:r>
            <w:proofErr w:type="spellStart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Глазовский</w:t>
            </w:r>
            <w:proofErr w:type="spellEnd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 район»  доступной и достоверной информацией, включающей в себя сведения о видах, объемах и условиях предоставления медицинской помощи, установленных Территориальной программой госгарантий оказания бесплатной медицинской помощи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Администрация МО «</w:t>
            </w:r>
            <w:proofErr w:type="spellStart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Глазовский</w:t>
            </w:r>
            <w:proofErr w:type="spellEnd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 район»</w:t>
            </w:r>
          </w:p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БУЗ  УР «</w:t>
            </w:r>
            <w:proofErr w:type="spellStart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Глазовская</w:t>
            </w:r>
            <w:proofErr w:type="spellEnd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 РБ МЗ УР»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В течение года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В течение года 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Информирование населения о предоставлении бесплатной медицинской помощи  в соответствии с территориальной программой государственных гарантий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 распространены памятки по сельским поселениям через лечебные учреждения района</w:t>
            </w:r>
          </w:p>
          <w:p w:rsidR="00236850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заместитель главного врача выезжал</w:t>
            </w: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а</w:t>
            </w: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на встречи с населением во время работы медицинского мобильного комплекса</w:t>
            </w: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.</w:t>
            </w: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Информация доведена на </w:t>
            </w: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lastRenderedPageBreak/>
              <w:t>заседании Общественного совета до активистов сельских поселений</w:t>
            </w: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 </w:t>
            </w:r>
          </w:p>
        </w:tc>
      </w:tr>
      <w:tr w:rsidR="00236850" w:rsidRPr="000A0044" w:rsidTr="00B95943">
        <w:trPr>
          <w:trHeight w:val="282"/>
        </w:trPr>
        <w:tc>
          <w:tcPr>
            <w:tcW w:w="72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lastRenderedPageBreak/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b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b/>
                <w:kern w:val="0"/>
                <w:sz w:val="18"/>
                <w:szCs w:val="18"/>
                <w:lang w:val="ru-RU" w:eastAsia="en-US" w:bidi="ar-SA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b/>
                <w:kern w:val="0"/>
                <w:sz w:val="18"/>
                <w:szCs w:val="18"/>
                <w:lang w:val="ru-RU" w:eastAsia="en-US"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b/>
                <w:kern w:val="0"/>
                <w:sz w:val="18"/>
                <w:szCs w:val="18"/>
                <w:lang w:val="ru-RU" w:eastAsia="en-US" w:bidi="ar-SA"/>
              </w:rPr>
              <w:t xml:space="preserve">Профилактика заболеваний и формирование здорового образа жизни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</w:tr>
      <w:tr w:rsidR="00236850" w:rsidRPr="000A0044" w:rsidTr="00B95943">
        <w:trPr>
          <w:trHeight w:val="282"/>
        </w:trPr>
        <w:tc>
          <w:tcPr>
            <w:tcW w:w="72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01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Разработка и распространение памяток, буклетов по здоровому образу жизни и профилактике заболеваний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36850" w:rsidRPr="00EE2EAB" w:rsidRDefault="00236850" w:rsidP="00B95943">
            <w:pPr>
              <w:autoSpaceDE w:val="0"/>
              <w:autoSpaceDN w:val="0"/>
              <w:adjustRightInd w:val="0"/>
              <w:spacing w:after="120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БУЗ  УР «</w:t>
            </w:r>
            <w:proofErr w:type="spellStart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Глазовская</w:t>
            </w:r>
            <w:proofErr w:type="spellEnd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  районная больница  МЗ УР»,   </w:t>
            </w:r>
            <w:r w:rsidRPr="00EE2EAB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Управление </w:t>
            </w:r>
            <w:r w:rsidRPr="00EE2E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 </w:t>
            </w:r>
            <w:r w:rsidRPr="00EE2EAB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Pr="00EE2EAB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Глазовского</w:t>
            </w:r>
            <w:proofErr w:type="spellEnd"/>
            <w:r w:rsidRPr="00EE2EAB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района</w:t>
            </w:r>
          </w:p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в течение года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в течение года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Санитарно-гигиеническое просвещение и профилактика заболеваний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Выпуск буклетов  и их распространение</w:t>
            </w:r>
          </w:p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ind w:right="175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  </w:t>
            </w: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ru-RU" w:bidi="ar-SA"/>
              </w:rPr>
              <w:t>-«Женский алкоголизм»;</w:t>
            </w:r>
          </w:p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ind w:right="175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ru-RU" w:bidi="ar-SA"/>
              </w:rPr>
              <w:t>-«Мужской алкоголизм»;</w:t>
            </w:r>
          </w:p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ind w:right="175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ru-RU" w:bidi="ar-SA"/>
              </w:rPr>
              <w:t>-«Детский алкоголизм».</w:t>
            </w:r>
          </w:p>
          <w:p w:rsidR="00236850" w:rsidRPr="000A0044" w:rsidRDefault="00236850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- Профилактика гриппа и ОРВИ»</w:t>
            </w:r>
          </w:p>
          <w:p w:rsidR="00236850" w:rsidRPr="000A0044" w:rsidRDefault="00236850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- «Радуга здоровь</w:t>
            </w:r>
            <w:proofErr w:type="gramStart"/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я-</w:t>
            </w:r>
            <w:proofErr w:type="gramEnd"/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лекарственные травы и растения»</w:t>
            </w:r>
          </w:p>
          <w:p w:rsidR="00236850" w:rsidRPr="000A0044" w:rsidRDefault="00236850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- «Жить </w:t>
            </w:r>
            <w:proofErr w:type="gramStart"/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здорово</w:t>
            </w:r>
            <w:proofErr w:type="gramEnd"/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, весело, активно в любом возрасте»</w:t>
            </w:r>
          </w:p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SimSu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SimSun" w:cs="Times New Roman"/>
                <w:kern w:val="0"/>
                <w:sz w:val="18"/>
                <w:szCs w:val="18"/>
                <w:lang w:val="ru-RU" w:eastAsia="ru-RU" w:bidi="ar-SA"/>
              </w:rPr>
              <w:t>Памятка Гимнастика для глаз</w:t>
            </w:r>
          </w:p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ru-RU" w:bidi="ar-SA"/>
              </w:rPr>
              <w:t xml:space="preserve">Выпуск и распространение буклета «В здоровом теле здоровый дух!» (буклет содержит информацию о кружках и секциях спортивного направления, работающих в </w:t>
            </w:r>
            <w:proofErr w:type="spellStart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ru-RU" w:bidi="ar-SA"/>
              </w:rPr>
              <w:t>г</w:t>
            </w:r>
            <w:proofErr w:type="gramStart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ru-RU" w:bidi="ar-SA"/>
              </w:rPr>
              <w:t>.Г</w:t>
            </w:r>
            <w:proofErr w:type="gramEnd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ru-RU" w:bidi="ar-SA"/>
              </w:rPr>
              <w:t>лазове</w:t>
            </w:r>
            <w:proofErr w:type="spellEnd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ru-RU" w:bidi="ar-SA"/>
              </w:rPr>
              <w:t xml:space="preserve"> и Глазовском районе с контактной </w:t>
            </w: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ru-RU" w:bidi="ar-SA"/>
              </w:rPr>
              <w:lastRenderedPageBreak/>
              <w:t>информацией)</w:t>
            </w:r>
          </w:p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ru-RU" w:bidi="ar-SA"/>
              </w:rPr>
              <w:t xml:space="preserve">Распространение буклетов  и информационного материала для получателей социальных услуг, пропагандирующего здоровый образ жизни, по коррекции факторов риска хронических неинфекционных заболеваний, профилактике </w:t>
            </w:r>
            <w:proofErr w:type="spellStart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ru-RU" w:bidi="ar-SA"/>
              </w:rPr>
              <w:t>табакокурения</w:t>
            </w:r>
            <w:proofErr w:type="spellEnd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ru-RU" w:bidi="ar-SA"/>
              </w:rPr>
              <w:t>, алкоголизма и зависимостей</w:t>
            </w: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236850" w:rsidRPr="000A0044" w:rsidTr="00B95943">
        <w:trPr>
          <w:trHeight w:val="282"/>
        </w:trPr>
        <w:tc>
          <w:tcPr>
            <w:tcW w:w="72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lastRenderedPageBreak/>
              <w:t xml:space="preserve"> </w:t>
            </w:r>
            <w:r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2</w:t>
            </w: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02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Публикация статей     в районной газете «</w:t>
            </w:r>
            <w:proofErr w:type="spellStart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Иднакар</w:t>
            </w:r>
            <w:proofErr w:type="spellEnd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» по ЗОЖ, профилактике инфекционных и неинфекционных заболеваний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Главный редактор газеты «</w:t>
            </w:r>
            <w:proofErr w:type="spellStart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Иднакар</w:t>
            </w:r>
            <w:proofErr w:type="spellEnd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», </w:t>
            </w:r>
          </w:p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БУЗ УР «</w:t>
            </w:r>
            <w:proofErr w:type="spellStart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Глазовская</w:t>
            </w:r>
            <w:proofErr w:type="spellEnd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районная больница   МЗ УР»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в течение года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в течение года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Санитарно-гигиеническое просвещение и пропаганда ЗОЖ 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Ежемесячно в рамках Года здоровья опубликовывалось по 2 статьи</w:t>
            </w:r>
          </w:p>
        </w:tc>
      </w:tr>
      <w:tr w:rsidR="00236850" w:rsidRPr="000A0044" w:rsidTr="00B95943">
        <w:trPr>
          <w:trHeight w:val="282"/>
        </w:trPr>
        <w:tc>
          <w:tcPr>
            <w:tcW w:w="72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</w:t>
            </w:r>
            <w:r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2</w:t>
            </w: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03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Организация работы «Школ здоровья» для больных с хроническими заболеваниями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БУЗ УР «</w:t>
            </w:r>
            <w:proofErr w:type="spellStart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Глазовская</w:t>
            </w:r>
            <w:proofErr w:type="spellEnd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 РБ МЗ УР»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В течение года</w:t>
            </w: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Январь, март</w:t>
            </w: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Санитарно-гигиеническое,  медицинское просвещение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  <w:r w:rsidRPr="00496159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 xml:space="preserve">Проведено занятие                            в Школе здоровья                          по коррекции факторов риска </w:t>
            </w: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 xml:space="preserve">при </w:t>
            </w:r>
            <w:proofErr w:type="spellStart"/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Люмской</w:t>
            </w:r>
            <w:proofErr w:type="spellEnd"/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 xml:space="preserve"> и Октябрьской амбулаториях</w:t>
            </w:r>
          </w:p>
        </w:tc>
      </w:tr>
      <w:tr w:rsidR="00236850" w:rsidRPr="000A0044" w:rsidTr="00B95943">
        <w:trPr>
          <w:trHeight w:val="282"/>
        </w:trPr>
        <w:tc>
          <w:tcPr>
            <w:tcW w:w="72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</w:t>
            </w:r>
            <w:r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2</w:t>
            </w: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04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Организация взаимодействия БУЗ УР «</w:t>
            </w:r>
            <w:proofErr w:type="spellStart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Глазовская</w:t>
            </w:r>
            <w:proofErr w:type="spellEnd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районная больница  МЗ УР» с  руководителями предприятий, организаций, учреждений всех форм собственности, расположенных на территории </w:t>
            </w: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lastRenderedPageBreak/>
              <w:t xml:space="preserve">МО « </w:t>
            </w:r>
            <w:proofErr w:type="spellStart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Глазовский</w:t>
            </w:r>
            <w:proofErr w:type="spellEnd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 район» по вопросам диспансеризации, вакцинации, периодических и плановых медицинских осмотров и иных профилактических мероприятий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lastRenderedPageBreak/>
              <w:t>Администрация МО «</w:t>
            </w:r>
            <w:proofErr w:type="spellStart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Глазовский</w:t>
            </w:r>
            <w:proofErr w:type="spellEnd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 район»</w:t>
            </w:r>
          </w:p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БУЗ УР «</w:t>
            </w:r>
            <w:proofErr w:type="spellStart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Глазовская</w:t>
            </w:r>
            <w:proofErr w:type="spellEnd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 РБ МЗ УР»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в течение года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август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Увеличение охвата населения диспансеризацией, вакцинацией, периодическими и плановыми медицинскими </w:t>
            </w: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lastRenderedPageBreak/>
              <w:t>осмотрами, налаживание эффективного межведомственного взаимодействия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lastRenderedPageBreak/>
              <w:t xml:space="preserve"> проведено заседание Общественного совета  </w:t>
            </w:r>
            <w:proofErr w:type="spellStart"/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Глазовского</w:t>
            </w:r>
            <w:proofErr w:type="spellEnd"/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района с приглашением главного врача, </w:t>
            </w: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</w:t>
            </w: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lastRenderedPageBreak/>
              <w:t>Глав сельских поселений. Решение направлено руководителям предприятий, в сельские администрации</w:t>
            </w: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данные вопросы рассмотрены на заседаниях санитарной комиссии, решения также направлены на предприятия и в сельские поселения.</w:t>
            </w: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</w:t>
            </w:r>
          </w:p>
        </w:tc>
      </w:tr>
      <w:tr w:rsidR="00236850" w:rsidRPr="000A0044" w:rsidTr="00B95943">
        <w:trPr>
          <w:trHeight w:val="282"/>
        </w:trPr>
        <w:tc>
          <w:tcPr>
            <w:tcW w:w="72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lastRenderedPageBreak/>
              <w:t xml:space="preserve"> </w:t>
            </w:r>
            <w:r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2</w:t>
            </w: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05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Информирование населения об угрозе возникновения и возникновении эпидемии путем размещения соответствующей информации  в районных СМИ, размещения на официальном сайте  МО «</w:t>
            </w:r>
            <w:proofErr w:type="spellStart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Глазовский</w:t>
            </w:r>
            <w:proofErr w:type="spellEnd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район»,  в местах массового пребывания людей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Администрация МО «</w:t>
            </w:r>
            <w:proofErr w:type="spellStart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Глазовский</w:t>
            </w:r>
            <w:proofErr w:type="spellEnd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 район»</w:t>
            </w:r>
          </w:p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БУЗ УР «</w:t>
            </w:r>
            <w:proofErr w:type="spellStart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Глазовская</w:t>
            </w:r>
            <w:proofErr w:type="spellEnd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 РБ МЗ УР»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в течение года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в течение года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Информирование населения об угрозе возникновения или возникновении эпидемии 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 информация размещается на официальном сайте </w:t>
            </w:r>
            <w:proofErr w:type="spellStart"/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Глазовского</w:t>
            </w:r>
            <w:proofErr w:type="spellEnd"/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района,</w:t>
            </w: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также в населенных пунктах на досках объявлений, в школах, правлениях сельхозпредприятий, в магазинах</w:t>
            </w: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 </w:t>
            </w:r>
          </w:p>
        </w:tc>
      </w:tr>
      <w:tr w:rsidR="00236850" w:rsidRPr="000A0044" w:rsidTr="00B95943">
        <w:trPr>
          <w:trHeight w:val="70"/>
        </w:trPr>
        <w:tc>
          <w:tcPr>
            <w:tcW w:w="72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</w:t>
            </w:r>
            <w:r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2</w:t>
            </w: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06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Организация оздоровительно-информационных кампаний  и массовых акций, формирование здорового образа жизни, профилактика заболеваний:</w:t>
            </w:r>
          </w:p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- </w:t>
            </w:r>
            <w:proofErr w:type="gramStart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ко</w:t>
            </w:r>
            <w:proofErr w:type="gramEnd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Всемирному  Дню здоровья (7 апреля);</w:t>
            </w:r>
          </w:p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- </w:t>
            </w:r>
            <w:proofErr w:type="gramStart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ко</w:t>
            </w:r>
            <w:proofErr w:type="gramEnd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Всемирному Дню борьбы с туберкулезом (24 марта);</w:t>
            </w:r>
          </w:p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- к Международному Дню отказа </w:t>
            </w: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lastRenderedPageBreak/>
              <w:t>от курения (16 ноября);</w:t>
            </w:r>
          </w:p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- </w:t>
            </w:r>
            <w:proofErr w:type="gramStart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Ко</w:t>
            </w:r>
            <w:proofErr w:type="gramEnd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Всемирному Дню борьбы со СПИДом (1 декабря);</w:t>
            </w:r>
          </w:p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- </w:t>
            </w:r>
            <w:proofErr w:type="gramStart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ко</w:t>
            </w:r>
            <w:proofErr w:type="gramEnd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Всемирному Дню без табачного дыма </w:t>
            </w:r>
          </w:p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(31 мая) и другие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EE2EAB" w:rsidRDefault="00236850" w:rsidP="00B95943">
            <w:pPr>
              <w:autoSpaceDE w:val="0"/>
              <w:autoSpaceDN w:val="0"/>
              <w:adjustRightInd w:val="0"/>
              <w:spacing w:after="120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lastRenderedPageBreak/>
              <w:t>БУЗ УР «</w:t>
            </w:r>
            <w:proofErr w:type="spellStart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Глазовская</w:t>
            </w:r>
            <w:proofErr w:type="spellEnd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районная больница  МЗ УР», </w:t>
            </w:r>
            <w:r w:rsidRPr="00EE2EAB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Управление </w:t>
            </w:r>
            <w:r w:rsidRPr="00EE2EAB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 </w:t>
            </w:r>
            <w:r w:rsidRPr="00EE2EAB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Pr="00EE2EAB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Глазовского</w:t>
            </w:r>
            <w:proofErr w:type="spellEnd"/>
            <w:r w:rsidRPr="00EE2EAB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района</w:t>
            </w: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,   Управление образования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в течение года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в течение года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Повышение уровня санитарно-гигиенических знаний населения, созданий условий для самореализации личности по сохранению и укреплению собственного здоровья</w:t>
            </w: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ascii="Calibri" w:eastAsia="Calibri" w:hAnsi="Calibri" w:cs="Times New Roman"/>
                <w:b/>
                <w:kern w:val="0"/>
                <w:sz w:val="18"/>
                <w:szCs w:val="18"/>
                <w:lang w:val="ru-RU" w:eastAsia="en-US" w:bidi="ar-SA"/>
              </w:rPr>
              <w:lastRenderedPageBreak/>
              <w:t>-</w:t>
            </w:r>
            <w:r w:rsidRPr="000A0044">
              <w:rPr>
                <w:rFonts w:ascii="Calibri" w:eastAsia="Calibri" w:hAnsi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</w:t>
            </w:r>
            <w:r w:rsidRPr="000A0044">
              <w:rPr>
                <w:rFonts w:eastAsia="Calibri" w:cs="Times New Roman"/>
                <w:kern w:val="0"/>
                <w:sz w:val="18"/>
                <w:szCs w:val="18"/>
                <w:lang w:val="en-US" w:eastAsia="en-US" w:bidi="ar-SA"/>
              </w:rPr>
              <w:t>I</w:t>
            </w: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этап Общероссийской антинаркотической акции «Сообщи, где торгуют смертью». </w:t>
            </w:r>
          </w:p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proofErr w:type="gramStart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- </w:t>
            </w:r>
            <w:r w:rsidRPr="000A0044">
              <w:rPr>
                <w:rFonts w:eastAsia="Calibri" w:cs="Times New Roman"/>
                <w:bCs/>
                <w:kern w:val="0"/>
                <w:sz w:val="18"/>
                <w:szCs w:val="18"/>
                <w:lang w:val="ru-RU" w:eastAsia="en-US" w:bidi="ar-SA"/>
              </w:rPr>
              <w:t xml:space="preserve">Месячник, посвященный Международному дню борьбы с наркоманией (далее </w:t>
            </w:r>
            <w:proofErr w:type="gramEnd"/>
          </w:p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 Акция «Скажем </w:t>
            </w: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lastRenderedPageBreak/>
              <w:t xml:space="preserve">сигарете нет» - </w:t>
            </w:r>
          </w:p>
          <w:p w:rsidR="00236850" w:rsidRPr="001F71C4" w:rsidRDefault="00236850" w:rsidP="00B95943">
            <w:pPr>
              <w:tabs>
                <w:tab w:val="left" w:pos="5745"/>
              </w:tabs>
              <w:jc w:val="both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1F71C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в рамках Всемирного дня борьбы со СПИДом: профилактические мероприятия (классные часы, игровые программы), размещение на информационном стенде, официальном сайте, группе ВК образовательных учреждений информационных материалов, беседы антинаркотической направленности, профилактики ВИЧ </w:t>
            </w:r>
            <w:proofErr w:type="gramStart"/>
            <w:r w:rsidRPr="001F71C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–и</w:t>
            </w:r>
            <w:proofErr w:type="gramEnd"/>
            <w:r w:rsidRPr="001F71C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нфекции, </w:t>
            </w:r>
            <w:proofErr w:type="spellStart"/>
            <w:r w:rsidRPr="001F71C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флешмоб</w:t>
            </w:r>
            <w:proofErr w:type="spellEnd"/>
            <w:r w:rsidRPr="001F71C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, посвященный дню борьбы со СПИДом, создание мультимедийной продукции профилактической направленности (презентации, видеоролик, мультфильм), </w:t>
            </w:r>
          </w:p>
          <w:p w:rsidR="00236850" w:rsidRPr="00E805FC" w:rsidRDefault="00236850" w:rsidP="00B95943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 w:rsidRPr="00E805FC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Онлайн-опрос о вреде курения «Человек  управляет привычкой, а не наоборот»</w:t>
            </w:r>
          </w:p>
          <w:p w:rsidR="00236850" w:rsidRPr="00E805FC" w:rsidRDefault="00236850" w:rsidP="00B95943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 w:rsidRPr="00E805FC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Пост в социальной сети «</w:t>
            </w:r>
            <w:proofErr w:type="spellStart"/>
            <w:r w:rsidRPr="00E805FC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ВКонтакте</w:t>
            </w:r>
            <w:proofErr w:type="spellEnd"/>
            <w:r w:rsidRPr="00E805FC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» о вреде курения.</w:t>
            </w:r>
          </w:p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both"/>
              <w:textAlignment w:val="auto"/>
              <w:rPr>
                <w:rFonts w:eastAsia="Calibri" w:cs="Times New Roman"/>
                <w:kern w:val="0"/>
                <w:lang w:val="ru-RU" w:eastAsia="en-US" w:bidi="ar-SA"/>
              </w:rPr>
            </w:pPr>
            <w:r w:rsidRPr="00E805FC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Пост в социальной сети «</w:t>
            </w:r>
            <w:proofErr w:type="spellStart"/>
            <w:r w:rsidRPr="00E805FC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ВКонтакте</w:t>
            </w:r>
            <w:proofErr w:type="spellEnd"/>
            <w:r w:rsidRPr="00E805FC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 xml:space="preserve">», </w:t>
            </w:r>
            <w:r w:rsidRPr="00E805FC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lastRenderedPageBreak/>
              <w:t>посвященный  Дню защиты детей</w:t>
            </w:r>
          </w:p>
        </w:tc>
      </w:tr>
      <w:tr w:rsidR="00236850" w:rsidRPr="000A0044" w:rsidTr="00B95943">
        <w:trPr>
          <w:trHeight w:val="282"/>
        </w:trPr>
        <w:tc>
          <w:tcPr>
            <w:tcW w:w="72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lastRenderedPageBreak/>
              <w:t xml:space="preserve"> </w:t>
            </w:r>
            <w:r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2</w:t>
            </w: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08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Организация и проведение районных  смотро</w:t>
            </w:r>
            <w:proofErr w:type="gramStart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в-</w:t>
            </w:r>
            <w:proofErr w:type="gramEnd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конкурсов    «Самый здоровый детский сад», «Самый здоровый класс», «Самый спортивный класс»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Управление образования Администрации МО</w:t>
            </w:r>
          </w:p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«</w:t>
            </w:r>
            <w:proofErr w:type="spellStart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Глазовский</w:t>
            </w:r>
            <w:proofErr w:type="spellEnd"/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район»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4 квартал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4 квартал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Формирование здорового образа жизни 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Конкурсы проведены среди образовательных организаций района, победители награждены</w:t>
            </w:r>
          </w:p>
        </w:tc>
      </w:tr>
      <w:tr w:rsidR="00236850" w:rsidRPr="000A0044" w:rsidTr="00B95943">
        <w:trPr>
          <w:trHeight w:val="282"/>
        </w:trPr>
        <w:tc>
          <w:tcPr>
            <w:tcW w:w="72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</w:t>
            </w:r>
            <w:r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2</w:t>
            </w: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09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Проведение спортивных мероприятий под девизом «Спорт против табака, алкоголя и наркотиков»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EE2EAB" w:rsidRDefault="00236850" w:rsidP="00B95943">
            <w:pPr>
              <w:widowControl/>
              <w:suppressAutoHyphens w:val="0"/>
              <w:autoSpaceDE w:val="0"/>
              <w:autoSpaceDN w:val="0"/>
              <w:adjustRightInd w:val="0"/>
              <w:spacing w:after="12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EE2EAB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Управление </w:t>
            </w:r>
            <w:r w:rsidRPr="00EE2EAB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 </w:t>
            </w:r>
            <w:r w:rsidRPr="00EE2EAB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Pr="00EE2EAB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Глазовского</w:t>
            </w:r>
            <w:proofErr w:type="spellEnd"/>
            <w:r w:rsidRPr="00EE2EAB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района</w:t>
            </w:r>
          </w:p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</w:t>
            </w: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4 квартал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С 19-23 октября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Формирование ЗОЖ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E432FE" w:rsidRDefault="00236850" w:rsidP="00B95943">
            <w:pPr>
              <w:widowControl/>
              <w:shd w:val="clear" w:color="auto" w:fill="FFFFFF"/>
              <w:suppressAutoHyphens w:val="0"/>
              <w:ind w:firstLine="218"/>
              <w:jc w:val="both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E432FE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Спортивные мероприятия  «Мы за спорт!» под девизом «Спорт против табака, алкоголя и наркотиков» проведены    в целях:</w:t>
            </w:r>
          </w:p>
          <w:p w:rsidR="00236850" w:rsidRPr="00E432FE" w:rsidRDefault="00236850" w:rsidP="00B95943">
            <w:pPr>
              <w:widowControl/>
              <w:shd w:val="clear" w:color="auto" w:fill="FFFFFF"/>
              <w:suppressAutoHyphens w:val="0"/>
              <w:ind w:firstLine="218"/>
              <w:jc w:val="both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E432FE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- профилактики </w:t>
            </w:r>
            <w:r w:rsidRPr="00E432FE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зависимости от наркотических средств и психотропных веществ;</w:t>
            </w:r>
          </w:p>
          <w:p w:rsidR="00236850" w:rsidRPr="00E432FE" w:rsidRDefault="00236850" w:rsidP="00B95943">
            <w:pPr>
              <w:widowControl/>
              <w:shd w:val="clear" w:color="auto" w:fill="FFFFFF"/>
              <w:suppressAutoHyphens w:val="0"/>
              <w:ind w:firstLine="218"/>
              <w:jc w:val="both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E432FE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- распространения инновационной образовательной практики, содержания (форм и методов)  профилактической работы в образовательных учреждениях;</w:t>
            </w:r>
          </w:p>
          <w:p w:rsidR="00236850" w:rsidRPr="00E432FE" w:rsidRDefault="00236850" w:rsidP="00B95943">
            <w:pPr>
              <w:widowControl/>
              <w:shd w:val="clear" w:color="auto" w:fill="FFFFFF"/>
              <w:suppressAutoHyphens w:val="0"/>
              <w:ind w:firstLine="218"/>
              <w:jc w:val="both"/>
              <w:rPr>
                <w:rFonts w:eastAsia="Times New Roman" w:cs="Times New Roman"/>
                <w:kern w:val="0"/>
                <w:sz w:val="18"/>
                <w:szCs w:val="18"/>
                <w:shd w:val="clear" w:color="auto" w:fill="FFFFFF"/>
                <w:lang w:val="ru-RU" w:eastAsia="ru-RU" w:bidi="ar-SA"/>
              </w:rPr>
            </w:pPr>
            <w:r w:rsidRPr="00E432FE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- </w:t>
            </w:r>
            <w:r w:rsidRPr="00E432FE">
              <w:rPr>
                <w:rFonts w:eastAsia="Times New Roman" w:cs="Times New Roman"/>
                <w:kern w:val="0"/>
                <w:sz w:val="18"/>
                <w:szCs w:val="18"/>
                <w:shd w:val="clear" w:color="auto" w:fill="FFFFFF"/>
                <w:lang w:val="ru-RU" w:eastAsia="ru-RU" w:bidi="ar-SA"/>
              </w:rPr>
              <w:t xml:space="preserve"> формирования у подростков ценностного отношения к собственному здоровью; развития ответственного поведения подростков;</w:t>
            </w:r>
          </w:p>
          <w:p w:rsidR="00236850" w:rsidRPr="00E432FE" w:rsidRDefault="00236850" w:rsidP="00B95943">
            <w:pPr>
              <w:widowControl/>
              <w:shd w:val="clear" w:color="auto" w:fill="FFFFFF"/>
              <w:suppressAutoHyphens w:val="0"/>
              <w:ind w:firstLine="218"/>
              <w:jc w:val="both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E432FE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lastRenderedPageBreak/>
              <w:t>- сохранения и укрепления здоровья детей.</w:t>
            </w: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236850" w:rsidRPr="000A0044" w:rsidTr="00B95943">
        <w:trPr>
          <w:trHeight w:val="282"/>
        </w:trPr>
        <w:tc>
          <w:tcPr>
            <w:tcW w:w="72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lastRenderedPageBreak/>
              <w:t xml:space="preserve"> </w:t>
            </w:r>
            <w:r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2</w:t>
            </w: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Проведение семинара-практикума для подростков по формированию ЗОЖ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EE2EAB" w:rsidRDefault="00236850" w:rsidP="00B95943">
            <w:pPr>
              <w:widowControl/>
              <w:suppressAutoHyphens w:val="0"/>
              <w:autoSpaceDE w:val="0"/>
              <w:autoSpaceDN w:val="0"/>
              <w:adjustRightInd w:val="0"/>
              <w:spacing w:after="12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EE2EAB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Администраци</w:t>
            </w: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я</w:t>
            </w:r>
            <w:r w:rsidRPr="00EE2EAB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</w:t>
            </w:r>
            <w:proofErr w:type="spellStart"/>
            <w:r w:rsidRPr="00EE2EAB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Глазовского</w:t>
            </w:r>
            <w:proofErr w:type="spellEnd"/>
            <w:r w:rsidRPr="00EE2EAB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района</w:t>
            </w:r>
          </w:p>
          <w:p w:rsidR="00236850" w:rsidRPr="00EE2EAB" w:rsidRDefault="00236850" w:rsidP="00B95943">
            <w:pPr>
              <w:widowControl/>
              <w:suppressAutoHyphens w:val="0"/>
              <w:autoSpaceDE w:val="0"/>
              <w:autoSpaceDN w:val="0"/>
              <w:adjustRightInd w:val="0"/>
              <w:spacing w:after="12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4 квартал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20.11.2020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Формирование ЗОЖ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850" w:rsidRPr="00E432FE" w:rsidRDefault="00236850" w:rsidP="00B95943">
            <w:pPr>
              <w:widowControl/>
              <w:shd w:val="clear" w:color="auto" w:fill="FFFFFF"/>
              <w:suppressAutoHyphens w:val="0"/>
              <w:ind w:firstLine="218"/>
              <w:jc w:val="both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E432FE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Семинар-практикум для подростков по формированию здорового образа жизни «Время быть здоровым!»  проведен  в целях:</w:t>
            </w:r>
          </w:p>
          <w:p w:rsidR="00236850" w:rsidRPr="00E432FE" w:rsidRDefault="00236850" w:rsidP="00B95943">
            <w:pPr>
              <w:widowControl/>
              <w:shd w:val="clear" w:color="auto" w:fill="FFFFFF"/>
              <w:suppressAutoHyphens w:val="0"/>
              <w:ind w:firstLine="218"/>
              <w:jc w:val="both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E432FE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- сохранения и укрепления здоровья детей;</w:t>
            </w:r>
          </w:p>
          <w:p w:rsidR="00236850" w:rsidRPr="00E432FE" w:rsidRDefault="00236850" w:rsidP="00B95943">
            <w:pPr>
              <w:widowControl/>
              <w:shd w:val="clear" w:color="auto" w:fill="FFFFFF"/>
              <w:suppressAutoHyphens w:val="0"/>
              <w:ind w:firstLine="218"/>
              <w:jc w:val="both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E432FE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- освоения педагогическими коллективами образовательных учреждений современных образовательных технологий и внедрения их в практику;</w:t>
            </w:r>
          </w:p>
          <w:p w:rsidR="00236850" w:rsidRPr="00E432FE" w:rsidRDefault="00236850" w:rsidP="00B95943">
            <w:pPr>
              <w:widowControl/>
              <w:shd w:val="clear" w:color="auto" w:fill="FFFFFF"/>
              <w:suppressAutoHyphens w:val="0"/>
              <w:ind w:firstLine="218"/>
              <w:jc w:val="both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E432FE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- распространения инновационной образовательной практики, содержания (форм и методов)  профилактической работы в образовательных учреждениях;</w:t>
            </w:r>
          </w:p>
          <w:p w:rsidR="00236850" w:rsidRPr="00E432FE" w:rsidRDefault="00236850" w:rsidP="00B95943">
            <w:pPr>
              <w:widowControl/>
              <w:shd w:val="clear" w:color="auto" w:fill="FFFFFF"/>
              <w:suppressAutoHyphens w:val="0"/>
              <w:ind w:firstLine="218"/>
              <w:jc w:val="both"/>
              <w:rPr>
                <w:rFonts w:eastAsia="Times New Roman" w:cs="Times New Roman"/>
                <w:kern w:val="0"/>
                <w:shd w:val="clear" w:color="auto" w:fill="FFFFFF"/>
                <w:lang w:val="ru-RU" w:eastAsia="ru-RU" w:bidi="ar-SA"/>
              </w:rPr>
            </w:pPr>
            <w:r w:rsidRPr="00E432FE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- </w:t>
            </w:r>
            <w:r w:rsidRPr="00E432FE">
              <w:rPr>
                <w:rFonts w:eastAsia="Times New Roman" w:cs="Times New Roman"/>
                <w:kern w:val="0"/>
                <w:sz w:val="18"/>
                <w:szCs w:val="18"/>
                <w:shd w:val="clear" w:color="auto" w:fill="FFFFFF"/>
                <w:lang w:val="ru-RU" w:eastAsia="ru-RU" w:bidi="ar-SA"/>
              </w:rPr>
              <w:t xml:space="preserve"> формирования у подростков ценностного отношения к собственному здоровью; развития ответственного поведения </w:t>
            </w:r>
            <w:r w:rsidRPr="00E432FE">
              <w:rPr>
                <w:rFonts w:eastAsia="Times New Roman" w:cs="Times New Roman"/>
                <w:kern w:val="0"/>
                <w:sz w:val="18"/>
                <w:szCs w:val="18"/>
                <w:shd w:val="clear" w:color="auto" w:fill="FFFFFF"/>
                <w:lang w:val="ru-RU" w:eastAsia="ru-RU" w:bidi="ar-SA"/>
              </w:rPr>
              <w:lastRenderedPageBreak/>
              <w:t>подростков</w:t>
            </w:r>
            <w:r w:rsidRPr="00E432FE">
              <w:rPr>
                <w:rFonts w:eastAsia="Times New Roman" w:cs="Times New Roman"/>
                <w:kern w:val="0"/>
                <w:shd w:val="clear" w:color="auto" w:fill="FFFFFF"/>
                <w:lang w:val="ru-RU" w:eastAsia="ru-RU" w:bidi="ar-SA"/>
              </w:rPr>
              <w:t>.</w:t>
            </w:r>
          </w:p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236850" w:rsidRPr="000A0044" w:rsidTr="00B95943">
        <w:trPr>
          <w:trHeight w:val="282"/>
        </w:trPr>
        <w:tc>
          <w:tcPr>
            <w:tcW w:w="724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lastRenderedPageBreak/>
              <w:t xml:space="preserve"> </w:t>
            </w:r>
            <w:r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2</w:t>
            </w: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11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Районный молодежный фестиваль инициатив в направлении ЗОЖ «Точка роста»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Отдел МЦ  «Диалог»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4 квартал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20.12.2020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Учиться писать проекты с последующим участием в </w:t>
            </w:r>
            <w:proofErr w:type="spellStart"/>
            <w:r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грантовых</w:t>
            </w:r>
            <w:proofErr w:type="spellEnd"/>
            <w:r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конкурсах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236850" w:rsidRPr="00E27966" w:rsidRDefault="00236850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E27966">
              <w:rPr>
                <w:rFonts w:eastAsia="Calibri" w:cs="Times New Roman"/>
                <w:bCs/>
                <w:kern w:val="0"/>
                <w:sz w:val="18"/>
                <w:szCs w:val="18"/>
                <w:lang w:val="ru-RU" w:eastAsia="en-US" w:bidi="ar-SA"/>
              </w:rPr>
              <w:t>Районный молодежный фестиваль инициатив «Точка роста» - участники знакомились с технологией написания проекта</w:t>
            </w:r>
            <w:r>
              <w:rPr>
                <w:rFonts w:eastAsia="Calibri" w:cs="Times New Roman"/>
                <w:bCs/>
                <w:kern w:val="0"/>
                <w:sz w:val="18"/>
                <w:szCs w:val="18"/>
                <w:lang w:val="ru-RU" w:eastAsia="en-US" w:bidi="ar-SA"/>
              </w:rPr>
              <w:t xml:space="preserve"> по формированию ЗОЖ</w:t>
            </w:r>
            <w:r w:rsidRPr="00E27966">
              <w:rPr>
                <w:rFonts w:eastAsia="Calibri" w:cs="Times New Roman"/>
                <w:bCs/>
                <w:kern w:val="0"/>
                <w:sz w:val="18"/>
                <w:szCs w:val="18"/>
                <w:lang w:val="ru-RU" w:eastAsia="en-US" w:bidi="ar-SA"/>
              </w:rPr>
              <w:t>, разрабатывали проект, защищали его перед экспертной комиссией</w:t>
            </w:r>
            <w:r w:rsidRPr="00E27966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</w:t>
            </w:r>
          </w:p>
        </w:tc>
      </w:tr>
      <w:tr w:rsidR="00236850" w:rsidRPr="000A0044" w:rsidTr="00B95943">
        <w:trPr>
          <w:trHeight w:val="282"/>
        </w:trPr>
        <w:tc>
          <w:tcPr>
            <w:tcW w:w="72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36850" w:rsidRPr="000A0044" w:rsidRDefault="00236850" w:rsidP="00B95943">
            <w:pPr>
              <w:widowControl/>
              <w:suppressAutoHyphens w:val="0"/>
              <w:spacing w:line="259" w:lineRule="auto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36850" w:rsidRPr="00EE2EAB" w:rsidRDefault="00236850" w:rsidP="00B95943">
            <w:pPr>
              <w:widowControl/>
              <w:suppressAutoHyphens w:val="0"/>
              <w:autoSpaceDE w:val="0"/>
              <w:autoSpaceDN w:val="0"/>
              <w:adjustRightInd w:val="0"/>
              <w:spacing w:after="12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36850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36850" w:rsidRPr="000A0044" w:rsidRDefault="00236850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36850" w:rsidRPr="000A0044" w:rsidRDefault="00236850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</w:tbl>
    <w:p w:rsidR="00A77F36" w:rsidRDefault="00A77F36"/>
    <w:sectPr w:rsidR="00A77F36" w:rsidSect="0023685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850"/>
    <w:rsid w:val="00236850"/>
    <w:rsid w:val="00A7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850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850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16DK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59035-18B0-4837-B1CE-A61A6A5EB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2163</Words>
  <Characters>12330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2021-04-04T12:54:00Z</dcterms:created>
  <dcterms:modified xsi:type="dcterms:W3CDTF">2021-04-04T12:55:00Z</dcterms:modified>
</cp:coreProperties>
</file>