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BD" w:rsidRPr="00C032BD" w:rsidRDefault="00C032BD" w:rsidP="00C032BD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bookmarkStart w:id="0" w:name="_GoBack"/>
      <w:bookmarkEnd w:id="0"/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</w:t>
      </w: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  <w:r>
        <w:rPr>
          <w:rFonts w:eastAsia="Times New Roman" w:cs="Times New Roman"/>
          <w:b/>
          <w:kern w:val="0"/>
          <w:lang w:val="ru-RU" w:eastAsia="ru-RU" w:bidi="ar-SA"/>
        </w:rPr>
        <w:t xml:space="preserve"> муниципальной программы </w:t>
      </w:r>
      <w:r w:rsidRPr="004626A2">
        <w:rPr>
          <w:rFonts w:eastAsia="Times New Roman"/>
          <w:b/>
          <w:lang w:eastAsia="ru-RU"/>
        </w:rPr>
        <w:t>«</w:t>
      </w:r>
      <w:proofErr w:type="spellStart"/>
      <w:r w:rsidRPr="004626A2">
        <w:rPr>
          <w:rFonts w:eastAsia="Times New Roman"/>
          <w:b/>
          <w:lang w:eastAsia="ru-RU"/>
        </w:rPr>
        <w:t>Сохранение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здоровья</w:t>
      </w:r>
      <w:proofErr w:type="spellEnd"/>
      <w:r w:rsidRPr="004626A2">
        <w:rPr>
          <w:rFonts w:eastAsia="Times New Roman"/>
          <w:b/>
          <w:lang w:eastAsia="ru-RU"/>
        </w:rPr>
        <w:t xml:space="preserve"> и </w:t>
      </w:r>
      <w:proofErr w:type="spellStart"/>
      <w:r w:rsidRPr="004626A2">
        <w:rPr>
          <w:rFonts w:eastAsia="Times New Roman"/>
          <w:b/>
          <w:lang w:eastAsia="ru-RU"/>
        </w:rPr>
        <w:t>формирование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здорового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образа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жизни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населения</w:t>
      </w:r>
      <w:proofErr w:type="spellEnd"/>
      <w:r w:rsidRPr="004626A2">
        <w:rPr>
          <w:rFonts w:eastAsia="Times New Roman"/>
          <w:b/>
          <w:lang w:eastAsia="ru-RU"/>
        </w:rPr>
        <w:t>»</w:t>
      </w:r>
      <w:r>
        <w:rPr>
          <w:rFonts w:eastAsia="Times New Roman"/>
          <w:b/>
          <w:lang w:val="ru-RU" w:eastAsia="ru-RU"/>
        </w:rPr>
        <w:t xml:space="preserve"> за 202</w:t>
      </w:r>
      <w:r w:rsidR="00AF665F">
        <w:rPr>
          <w:rFonts w:eastAsia="Times New Roman"/>
          <w:b/>
          <w:lang w:val="ru-RU" w:eastAsia="ru-RU"/>
        </w:rPr>
        <w:t>1</w:t>
      </w:r>
      <w:r>
        <w:rPr>
          <w:rFonts w:eastAsia="Times New Roman"/>
          <w:b/>
          <w:lang w:val="ru-RU" w:eastAsia="ru-RU"/>
        </w:rPr>
        <w:t xml:space="preserve"> год</w:t>
      </w: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C032BD" w:rsidRPr="000A0044" w:rsidTr="00B9594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C032BD" w:rsidRPr="000A0044" w:rsidTr="00B95943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77F36" w:rsidRPr="00C032BD" w:rsidRDefault="00A77F36">
      <w:pPr>
        <w:rPr>
          <w:lang w:val="ru-RU"/>
        </w:rPr>
      </w:pPr>
    </w:p>
    <w:sectPr w:rsidR="00A77F36" w:rsidRPr="00C032BD" w:rsidSect="00C032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BD"/>
    <w:rsid w:val="00A77F36"/>
    <w:rsid w:val="00AF665F"/>
    <w:rsid w:val="00BF2FA2"/>
    <w:rsid w:val="00C0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2022-05-20T12:42:00Z</dcterms:created>
  <dcterms:modified xsi:type="dcterms:W3CDTF">2022-05-20T12:42:00Z</dcterms:modified>
</cp:coreProperties>
</file>