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7A" w:rsidRPr="006132A8" w:rsidRDefault="00DB787A" w:rsidP="00DB787A">
      <w:pPr>
        <w:rPr>
          <w:b/>
          <w:bCs/>
          <w:i/>
          <w:color w:val="FF0000"/>
          <w:sz w:val="10"/>
          <w:szCs w:val="10"/>
        </w:rPr>
      </w:pPr>
      <w:bookmarkStart w:id="0" w:name="_GoBack"/>
      <w:bookmarkEnd w:id="0"/>
    </w:p>
    <w:p w:rsidR="00C70C57" w:rsidRDefault="00C70C57" w:rsidP="00C70C57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70C57" w:rsidRDefault="00C70C57" w:rsidP="00C70C57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C70C57" w:rsidRDefault="00C70C57" w:rsidP="00C70C57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C70C57" w:rsidRDefault="00C70C57" w:rsidP="00C70C57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C70C57" w:rsidRDefault="00C70C57" w:rsidP="00C70C57">
      <w:pPr>
        <w:jc w:val="center"/>
      </w:pPr>
    </w:p>
    <w:p w:rsidR="00C70C57" w:rsidRDefault="00C70C57" w:rsidP="00C70C57">
      <w:pPr>
        <w:jc w:val="center"/>
      </w:pPr>
    </w:p>
    <w:p w:rsidR="00C70C57" w:rsidRDefault="00C70C57" w:rsidP="00C70C57">
      <w:pPr>
        <w:pStyle w:val="a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70C57" w:rsidRDefault="00C70C57" w:rsidP="00C70C57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70C57" w:rsidTr="00FC1BF2">
        <w:tc>
          <w:tcPr>
            <w:tcW w:w="4785" w:type="dxa"/>
          </w:tcPr>
          <w:p w:rsidR="00C70C57" w:rsidRPr="001E6350" w:rsidRDefault="00140F3B" w:rsidP="00FC1B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02 ноября</w:t>
            </w:r>
            <w:r w:rsidR="00C70C57">
              <w:rPr>
                <w:b/>
                <w:bCs/>
              </w:rPr>
              <w:t xml:space="preserve"> 2015</w:t>
            </w:r>
            <w:r w:rsidR="00C70C57" w:rsidRPr="001E6350">
              <w:rPr>
                <w:b/>
                <w:bCs/>
              </w:rPr>
              <w:t xml:space="preserve"> года</w:t>
            </w:r>
          </w:p>
        </w:tc>
        <w:tc>
          <w:tcPr>
            <w:tcW w:w="4786" w:type="dxa"/>
          </w:tcPr>
          <w:p w:rsidR="00C70C57" w:rsidRDefault="00C70C57" w:rsidP="00FC1BF2">
            <w:pPr>
              <w:jc w:val="center"/>
            </w:pPr>
            <w:r w:rsidRPr="001E6350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49</w:t>
            </w:r>
            <w:r w:rsidR="00140F3B">
              <w:rPr>
                <w:b/>
                <w:bCs/>
              </w:rPr>
              <w:t>.1</w:t>
            </w:r>
          </w:p>
        </w:tc>
      </w:tr>
    </w:tbl>
    <w:p w:rsidR="00C70C57" w:rsidRDefault="00C70C57" w:rsidP="00C70C57"/>
    <w:p w:rsidR="00C70C57" w:rsidRPr="001E6350" w:rsidRDefault="00C70C57" w:rsidP="00C70C57">
      <w:pPr>
        <w:jc w:val="center"/>
        <w:rPr>
          <w:b/>
          <w:bCs/>
          <w:lang w:eastAsia="ar-SA"/>
        </w:rPr>
      </w:pPr>
      <w:proofErr w:type="spellStart"/>
      <w:r w:rsidRPr="001E6350">
        <w:rPr>
          <w:b/>
          <w:bCs/>
        </w:rPr>
        <w:t>с</w:t>
      </w:r>
      <w:proofErr w:type="gramStart"/>
      <w:r w:rsidRPr="001E6350">
        <w:rPr>
          <w:b/>
          <w:bCs/>
        </w:rPr>
        <w:t>.П</w:t>
      </w:r>
      <w:proofErr w:type="gramEnd"/>
      <w:r w:rsidRPr="001E6350">
        <w:rPr>
          <w:b/>
          <w:bCs/>
        </w:rPr>
        <w:t>арзи</w:t>
      </w:r>
      <w:proofErr w:type="spellEnd"/>
    </w:p>
    <w:p w:rsidR="00DB787A" w:rsidRDefault="00DB787A" w:rsidP="00DB787A">
      <w:pPr>
        <w:rPr>
          <w:b/>
          <w:bCs/>
          <w:sz w:val="23"/>
          <w:szCs w:val="23"/>
        </w:rPr>
      </w:pPr>
    </w:p>
    <w:p w:rsidR="00DB787A" w:rsidRDefault="00DB787A" w:rsidP="00DB787A">
      <w:pPr>
        <w:rPr>
          <w:b/>
          <w:bCs/>
          <w:sz w:val="23"/>
          <w:szCs w:val="23"/>
        </w:rPr>
      </w:pPr>
    </w:p>
    <w:p w:rsidR="00DB787A" w:rsidRPr="00902F0D" w:rsidRDefault="00DB787A" w:rsidP="00DB787A">
      <w:pPr>
        <w:rPr>
          <w:b/>
          <w:bCs/>
          <w:sz w:val="23"/>
          <w:szCs w:val="23"/>
        </w:rPr>
      </w:pPr>
    </w:p>
    <w:p w:rsidR="00DB787A" w:rsidRDefault="00DB787A" w:rsidP="00DB787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AA1855">
        <w:rPr>
          <w:rFonts w:ascii="Times New Roman" w:hAnsi="Times New Roman" w:cs="Times New Roman"/>
          <w:sz w:val="24"/>
          <w:szCs w:val="24"/>
        </w:rPr>
        <w:t>Об утверждении порядка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87A" w:rsidRDefault="00DB787A" w:rsidP="00DB787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AA1855">
        <w:rPr>
          <w:rFonts w:ascii="Times New Roman" w:hAnsi="Times New Roman" w:cs="Times New Roman"/>
          <w:sz w:val="24"/>
          <w:szCs w:val="24"/>
        </w:rPr>
        <w:t>и утверждения среднесрочного</w:t>
      </w:r>
      <w:r w:rsidRPr="00AA1855">
        <w:rPr>
          <w:rFonts w:ascii="Times New Roman" w:hAnsi="Times New Roman" w:cs="Times New Roman"/>
          <w:sz w:val="24"/>
          <w:szCs w:val="24"/>
        </w:rPr>
        <w:br/>
        <w:t xml:space="preserve">финансового плана муниципального </w:t>
      </w:r>
    </w:p>
    <w:p w:rsidR="00DB787A" w:rsidRPr="00AA1855" w:rsidRDefault="00DB787A" w:rsidP="00DB787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F13CF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Парзинское</w:t>
      </w:r>
      <w:r w:rsidRPr="00F13CFD">
        <w:rPr>
          <w:rFonts w:ascii="Times New Roman" w:hAnsi="Times New Roman" w:cs="Times New Roman"/>
          <w:sz w:val="24"/>
          <w:szCs w:val="24"/>
        </w:rPr>
        <w:t>»</w:t>
      </w:r>
    </w:p>
    <w:p w:rsidR="00DB787A" w:rsidRDefault="00DB787A" w:rsidP="00DB787A">
      <w:pPr>
        <w:rPr>
          <w:b/>
          <w:bCs/>
        </w:rPr>
      </w:pPr>
    </w:p>
    <w:p w:rsidR="00DB787A" w:rsidRDefault="00DB787A" w:rsidP="00DB787A">
      <w:pPr>
        <w:tabs>
          <w:tab w:val="left" w:pos="0"/>
          <w:tab w:val="left" w:pos="851"/>
        </w:tabs>
        <w:ind w:left="142"/>
        <w:jc w:val="both"/>
        <w:rPr>
          <w:b/>
          <w:bCs/>
        </w:rPr>
      </w:pPr>
      <w:r>
        <w:tab/>
        <w:t xml:space="preserve">В соответствии со ст. 174 Бюджетного кодекса Российской Федерации, руководствуясь Уставом муниципального образования «Парзинское», </w:t>
      </w:r>
      <w:r w:rsidRPr="0020173F">
        <w:rPr>
          <w:b/>
          <w:bCs/>
        </w:rPr>
        <w:t xml:space="preserve">Администрация </w:t>
      </w:r>
      <w:r>
        <w:rPr>
          <w:b/>
          <w:bCs/>
        </w:rPr>
        <w:t xml:space="preserve">муниципального образования «Парзинское» </w:t>
      </w:r>
      <w:r w:rsidRPr="00A2775F">
        <w:rPr>
          <w:b/>
          <w:bCs/>
        </w:rPr>
        <w:t>ПОСТАНОВЛЯ</w:t>
      </w:r>
      <w:r>
        <w:rPr>
          <w:b/>
          <w:bCs/>
        </w:rPr>
        <w:t>ЕТ</w:t>
      </w:r>
      <w:r w:rsidRPr="00A2775F">
        <w:rPr>
          <w:b/>
          <w:bCs/>
        </w:rPr>
        <w:t>:</w:t>
      </w:r>
    </w:p>
    <w:p w:rsidR="00DB787A" w:rsidRDefault="00DB787A" w:rsidP="00DB787A">
      <w:pPr>
        <w:tabs>
          <w:tab w:val="left" w:pos="0"/>
          <w:tab w:val="left" w:pos="851"/>
        </w:tabs>
        <w:ind w:left="142"/>
        <w:jc w:val="both"/>
        <w:rPr>
          <w:b/>
          <w:bCs/>
        </w:rPr>
      </w:pPr>
    </w:p>
    <w:p w:rsidR="00DB787A" w:rsidRPr="00AA1855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855">
        <w:rPr>
          <w:rFonts w:ascii="Times New Roman" w:hAnsi="Times New Roman" w:cs="Times New Roman"/>
          <w:sz w:val="24"/>
          <w:szCs w:val="24"/>
        </w:rPr>
        <w:t>1. Утвердить Порядок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855">
        <w:rPr>
          <w:rFonts w:ascii="Times New Roman" w:hAnsi="Times New Roman" w:cs="Times New Roman"/>
          <w:sz w:val="24"/>
          <w:szCs w:val="24"/>
        </w:rPr>
        <w:t>и утверждения среднесрочного финансового пл</w:t>
      </w:r>
      <w:r>
        <w:rPr>
          <w:rFonts w:ascii="Times New Roman" w:hAnsi="Times New Roman" w:cs="Times New Roman"/>
          <w:sz w:val="24"/>
          <w:szCs w:val="24"/>
        </w:rPr>
        <w:t xml:space="preserve">ана муниципального образования «Парзинское» </w:t>
      </w:r>
      <w:r w:rsidRPr="00AA1855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DB787A" w:rsidRPr="00E52E51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E51">
        <w:rPr>
          <w:rFonts w:ascii="Times New Roman" w:hAnsi="Times New Roman" w:cs="Times New Roman"/>
          <w:sz w:val="24"/>
          <w:szCs w:val="24"/>
        </w:rPr>
        <w:t>2. Рекомендовать Управлению финансов Администрации МО «</w:t>
      </w:r>
      <w:proofErr w:type="spellStart"/>
      <w:r w:rsidRPr="00E52E51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E52E51">
        <w:rPr>
          <w:rFonts w:ascii="Times New Roman" w:hAnsi="Times New Roman" w:cs="Times New Roman"/>
          <w:sz w:val="24"/>
          <w:szCs w:val="24"/>
        </w:rPr>
        <w:t xml:space="preserve"> район» разрабатывать среднесрочный финансовый план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«Парзинское» </w:t>
      </w:r>
      <w:r w:rsidRPr="00E52E51">
        <w:rPr>
          <w:rFonts w:ascii="Times New Roman" w:hAnsi="Times New Roman" w:cs="Times New Roman"/>
          <w:sz w:val="24"/>
          <w:szCs w:val="24"/>
        </w:rPr>
        <w:t>(в соответствии с заключенным соглашением).</w:t>
      </w:r>
    </w:p>
    <w:p w:rsidR="00DB787A" w:rsidRDefault="00DB787A" w:rsidP="00DB787A">
      <w:pPr>
        <w:ind w:firstLine="708"/>
        <w:jc w:val="both"/>
      </w:pPr>
    </w:p>
    <w:p w:rsidR="00DB787A" w:rsidRPr="00A2775F" w:rsidRDefault="00DB787A" w:rsidP="00DB787A">
      <w:pPr>
        <w:ind w:firstLine="708"/>
        <w:jc w:val="both"/>
        <w:rPr>
          <w:b/>
          <w:bCs/>
        </w:rPr>
      </w:pPr>
    </w:p>
    <w:p w:rsidR="00140F3B" w:rsidRDefault="00140F3B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В.Л.Васильев</w:t>
      </w:r>
      <w:proofErr w:type="spellEnd"/>
    </w:p>
    <w:p w:rsidR="00DB787A" w:rsidRDefault="00DB787A" w:rsidP="00DB787A">
      <w:pPr>
        <w:tabs>
          <w:tab w:val="left" w:pos="0"/>
          <w:tab w:val="left" w:pos="851"/>
        </w:tabs>
        <w:jc w:val="both"/>
        <w:rPr>
          <w:b/>
          <w:bCs/>
          <w:sz w:val="23"/>
          <w:szCs w:val="23"/>
        </w:rPr>
      </w:pPr>
    </w:p>
    <w:p w:rsidR="00DB787A" w:rsidRDefault="00DB787A" w:rsidP="00DB787A">
      <w:pPr>
        <w:tabs>
          <w:tab w:val="left" w:pos="0"/>
          <w:tab w:val="left" w:pos="851"/>
        </w:tabs>
        <w:jc w:val="both"/>
        <w:rPr>
          <w:b/>
          <w:bCs/>
          <w:sz w:val="23"/>
          <w:szCs w:val="23"/>
        </w:rPr>
      </w:pPr>
      <w:r w:rsidRPr="00264FF4">
        <w:rPr>
          <w:b/>
          <w:bCs/>
          <w:sz w:val="23"/>
          <w:szCs w:val="23"/>
        </w:rPr>
        <w:t xml:space="preserve">    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</w:t>
      </w:r>
    </w:p>
    <w:p w:rsidR="00DB787A" w:rsidRDefault="00DB787A" w:rsidP="00DB787A">
      <w:pPr>
        <w:pStyle w:val="a3"/>
        <w:rPr>
          <w:sz w:val="20"/>
          <w:szCs w:val="20"/>
        </w:rPr>
      </w:pPr>
      <w:r w:rsidRPr="00264FF4">
        <w:rPr>
          <w:b/>
          <w:bCs/>
          <w:sz w:val="23"/>
          <w:szCs w:val="23"/>
        </w:rPr>
        <w:t xml:space="preserve"> </w:t>
      </w: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DB787A" w:rsidRDefault="00DB787A" w:rsidP="00DB787A">
      <w:pPr>
        <w:pStyle w:val="a3"/>
        <w:rPr>
          <w:sz w:val="20"/>
          <w:szCs w:val="20"/>
        </w:rPr>
      </w:pPr>
    </w:p>
    <w:p w:rsidR="00A43F84" w:rsidRDefault="00A43F84" w:rsidP="00DB787A">
      <w:pPr>
        <w:pStyle w:val="a3"/>
        <w:rPr>
          <w:sz w:val="20"/>
          <w:szCs w:val="20"/>
        </w:rPr>
      </w:pPr>
    </w:p>
    <w:p w:rsidR="00DB787A" w:rsidRPr="00AA1855" w:rsidRDefault="00DB787A" w:rsidP="00DB787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AA1855">
        <w:rPr>
          <w:rFonts w:ascii="Times New Roman" w:hAnsi="Times New Roman" w:cs="Times New Roman"/>
        </w:rPr>
        <w:lastRenderedPageBreak/>
        <w:t>Приложение</w:t>
      </w:r>
    </w:p>
    <w:p w:rsidR="00DB787A" w:rsidRPr="00AA1855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AA1855">
        <w:rPr>
          <w:rFonts w:ascii="Times New Roman" w:hAnsi="Times New Roman" w:cs="Times New Roman"/>
        </w:rPr>
        <w:t>к постановлению</w:t>
      </w:r>
    </w:p>
    <w:p w:rsidR="00DB787A" w:rsidRPr="00AA1855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AA1855">
        <w:rPr>
          <w:rFonts w:ascii="Times New Roman" w:hAnsi="Times New Roman" w:cs="Times New Roman"/>
        </w:rPr>
        <w:t>Администрации</w:t>
      </w:r>
    </w:p>
    <w:p w:rsidR="00DB787A" w:rsidRPr="00AA1855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Pr="002A7EC6">
        <w:rPr>
          <w:rFonts w:ascii="Times New Roman" w:hAnsi="Times New Roman" w:cs="Times New Roman"/>
        </w:rPr>
        <w:t>Парзинское</w:t>
      </w:r>
      <w:r>
        <w:rPr>
          <w:rFonts w:ascii="Times New Roman" w:hAnsi="Times New Roman" w:cs="Times New Roman"/>
        </w:rPr>
        <w:t>»</w:t>
      </w: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A1855">
        <w:rPr>
          <w:rFonts w:ascii="Times New Roman" w:hAnsi="Times New Roman" w:cs="Times New Roman"/>
        </w:rPr>
        <w:t>т</w:t>
      </w:r>
      <w:r w:rsidR="00A43F84">
        <w:rPr>
          <w:rFonts w:ascii="Times New Roman" w:hAnsi="Times New Roman" w:cs="Times New Roman"/>
        </w:rPr>
        <w:t xml:space="preserve"> 02.11.</w:t>
      </w:r>
      <w:r>
        <w:rPr>
          <w:rFonts w:ascii="Times New Roman" w:hAnsi="Times New Roman" w:cs="Times New Roman"/>
        </w:rPr>
        <w:t>2015 г.</w:t>
      </w:r>
      <w:r w:rsidR="00A43F84">
        <w:rPr>
          <w:rFonts w:ascii="Times New Roman" w:hAnsi="Times New Roman" w:cs="Times New Roman"/>
        </w:rPr>
        <w:t xml:space="preserve"> № 49.1</w:t>
      </w:r>
    </w:p>
    <w:p w:rsidR="00DB787A" w:rsidRPr="00AA1855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B787A" w:rsidRPr="00AA1855" w:rsidRDefault="00DB787A" w:rsidP="00DB787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B787A" w:rsidRPr="00D26D69" w:rsidRDefault="00DB787A" w:rsidP="00DB78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6D69">
        <w:rPr>
          <w:rFonts w:ascii="Times New Roman" w:hAnsi="Times New Roman" w:cs="Times New Roman"/>
          <w:sz w:val="24"/>
          <w:szCs w:val="24"/>
        </w:rPr>
        <w:t>ПОРЯДОК</w:t>
      </w:r>
    </w:p>
    <w:p w:rsidR="00DB787A" w:rsidRPr="00D26D69" w:rsidRDefault="00DB787A" w:rsidP="00DB78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6D69">
        <w:rPr>
          <w:rFonts w:ascii="Times New Roman" w:hAnsi="Times New Roman" w:cs="Times New Roman"/>
          <w:sz w:val="24"/>
          <w:szCs w:val="24"/>
        </w:rPr>
        <w:t>СОСТАВЛЕНИЯ И УТВЕРЖДЕНИЯ СРЕДНЕСРОЧНОГО ФИНАНСОВОГО ПЛАНА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«ПАРЗИНСКОЕ»</w:t>
      </w:r>
    </w:p>
    <w:p w:rsidR="00DB787A" w:rsidRPr="00D26D69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87A" w:rsidRPr="00D26D69" w:rsidRDefault="00DB787A" w:rsidP="00DB787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D6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B787A" w:rsidRPr="00D26D69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D69">
        <w:rPr>
          <w:rFonts w:ascii="Times New Roman" w:hAnsi="Times New Roman" w:cs="Times New Roman"/>
          <w:sz w:val="24"/>
          <w:szCs w:val="24"/>
        </w:rPr>
        <w:t>1. Настоящий Порядок разработан в целях урегулирования правоотношений по составлению и утверждению среднесрочного финансового пл</w:t>
      </w:r>
      <w:r>
        <w:rPr>
          <w:rFonts w:ascii="Times New Roman" w:hAnsi="Times New Roman" w:cs="Times New Roman"/>
          <w:sz w:val="24"/>
          <w:szCs w:val="24"/>
        </w:rPr>
        <w:t xml:space="preserve">ана муниципального образования «Парзинское» 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D6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Среднесрочный финансовый план разрабатывается ежегодно на предстоящие три года, первый из которых - очередной финансовый год, на который составляется бюджет муниципального образования «Парзинское» (далее – бюджет). 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Среднесрочный финансовый план разрабатывается в соответствии с Бюджетным кодексом Российской Федерации, бюджетной политикой, определенной в ежегодном Послании Президента Российской Федерации Федеральному Собранию Российской Федерации и Бюджетном послании Президента Российской Федерации, бюджетным законодательством Удмуртской Республики и прогнозом социально-экономического развития Удмуртской Республики 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на очередной финансовый год и среднесрочную перспективу.</w:t>
      </w:r>
      <w:proofErr w:type="gramEnd"/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Среднесрочный план разрабатывается в целях последующего формирования бюджета муниципального образования «Парзинское» на очередной финансовый год с учетом среднесрочных тенденций социально-экономического развития, информирования главных распорядителей  бюджетных средств и иных участников бюджетного процесса о финансовом отражении среднесрочных тенденций развития экономики и социальной сферы муниципального образования «Парзинское», комплексного прогнозирования финансовых последствий разрабатываемых программ, решений, выявления необходимости и возможности осуществления в перспективе мер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финансовой (бюджетной, налоговой, долговой) политики, изучения негативных долгосрочных тенденций показателей среднесрочного финансового плана и своевременного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соответствующих мер.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26D69">
        <w:rPr>
          <w:rFonts w:ascii="Times New Roman" w:hAnsi="Times New Roman" w:cs="Times New Roman"/>
          <w:sz w:val="24"/>
          <w:szCs w:val="24"/>
        </w:rPr>
        <w:t>Разработка среднесрочного финансового плана осуществляется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26D69">
        <w:rPr>
          <w:rFonts w:ascii="Times New Roman" w:hAnsi="Times New Roman" w:cs="Times New Roman"/>
          <w:sz w:val="24"/>
          <w:szCs w:val="24"/>
        </w:rPr>
        <w:t xml:space="preserve"> финансов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D26D6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Pr="00D26D69">
        <w:rPr>
          <w:rFonts w:ascii="Times New Roman" w:hAnsi="Times New Roman" w:cs="Times New Roman"/>
          <w:sz w:val="24"/>
          <w:szCs w:val="24"/>
        </w:rPr>
        <w:t>распорядителями бюджетных средств</w:t>
      </w:r>
      <w:r>
        <w:rPr>
          <w:rFonts w:ascii="Times New Roman" w:hAnsi="Times New Roman" w:cs="Times New Roman"/>
          <w:sz w:val="24"/>
          <w:szCs w:val="24"/>
        </w:rPr>
        <w:t>, в соответствии с соглашениями о передаче осуществления бюджетных полномочий в части ведения бухгалтерского (бюджетного) и налогового учёта финансовой деятельности, заключаемыми ежегодно</w:t>
      </w:r>
      <w:r w:rsidRPr="00D26D69">
        <w:rPr>
          <w:rFonts w:ascii="Times New Roman" w:hAnsi="Times New Roman" w:cs="Times New Roman"/>
          <w:sz w:val="24"/>
          <w:szCs w:val="24"/>
        </w:rPr>
        <w:t>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Среднесрочный финансовый план утверждается Администрацией муниципального образования «Парзинское» и учитывается при формировании бюджета на очередной финансовый год.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Среднесрочный финансовый план ежегодно  корректируется с учетом показателей уточненного среднесрочного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с передвижением прогнозируемого периода на один год вперед. Корректировка  осуществляется путем утверждения среднесрочного финансового плана на очередной трехлетний период.</w:t>
      </w:r>
    </w:p>
    <w:p w:rsidR="00DB787A" w:rsidRDefault="00DB787A" w:rsidP="00DB78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Разработка среднесрочного финансового плана</w:t>
      </w:r>
    </w:p>
    <w:p w:rsidR="00DB787A" w:rsidRPr="00E855BD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6D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Среднесрочный финансовый план является финансовым документом, содержащим данные о прогнозных возможностях бюджета по доходам, привлечению и погашению муниципальных заимствований и об основных направлениях расходов бюджета.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Среднесрочный финансовый план составляется в виде таблицы, в которой отражены следующие параметры по форме согласно приложению к настоящему Порядку: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прогнозируемый общий объем доходов и расходов бюджета;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бюджета;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дефицит (профицит) бюджета;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7A16">
        <w:rPr>
          <w:rFonts w:ascii="Times New Roman" w:hAnsi="Times New Roman" w:cs="Times New Roman"/>
          <w:sz w:val="24"/>
          <w:szCs w:val="24"/>
        </w:rPr>
        <w:t>в</w:t>
      </w:r>
      <w:r w:rsidRPr="000C7A16">
        <w:rPr>
          <w:rFonts w:ascii="Times New Roman" w:hAnsi="Times New Roman" w:cs="Times New Roman"/>
          <w:color w:val="000000"/>
          <w:sz w:val="24"/>
          <w:szCs w:val="24"/>
        </w:rPr>
        <w:t xml:space="preserve">ерхний предел муниципального долга по состоянию на  1 января года, следующего за очередным финансовым годом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каждым годом планового периода. 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Среднесрочный финансовый план сопровождается пояснительной запиской, которая должна содержать: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обоснование параметров среднесрочного финансового плана;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сопоставление</w:t>
      </w:r>
      <w:r w:rsidRPr="00E11EF2">
        <w:rPr>
          <w:rFonts w:ascii="Times New Roman" w:hAnsi="Times New Roman" w:cs="Times New Roman"/>
          <w:sz w:val="24"/>
          <w:szCs w:val="24"/>
        </w:rPr>
        <w:t xml:space="preserve"> параметров среднесрочного финансового плана</w:t>
      </w:r>
      <w:r>
        <w:rPr>
          <w:rFonts w:ascii="Times New Roman" w:hAnsi="Times New Roman" w:cs="Times New Roman"/>
          <w:sz w:val="24"/>
          <w:szCs w:val="24"/>
        </w:rPr>
        <w:t xml:space="preserve"> с ранее одобренными параметрами с указанием причин планируемых изменений;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обоснование распределения бюджетных ассигнований на исполнение действующих расходных обязательств и принимаемых обязательств. 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Среднесрочный финансовый план разрабатывается в три этапа:</w:t>
      </w:r>
    </w:p>
    <w:p w:rsidR="00DB787A" w:rsidRPr="00A71BC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1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5D2F13">
        <w:rPr>
          <w:rFonts w:ascii="Times New Roman" w:hAnsi="Times New Roman" w:cs="Times New Roman"/>
          <w:sz w:val="24"/>
          <w:szCs w:val="24"/>
        </w:rPr>
        <w:t xml:space="preserve">на первом этапе разрабатываются приоритеты и показатели социально-экономического развития </w:t>
      </w:r>
      <w:proofErr w:type="spellStart"/>
      <w:r w:rsidRPr="005D2F13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Pr="005D2F13">
        <w:rPr>
          <w:rFonts w:ascii="Times New Roman" w:hAnsi="Times New Roman" w:cs="Times New Roman"/>
          <w:sz w:val="24"/>
          <w:szCs w:val="24"/>
        </w:rPr>
        <w:t xml:space="preserve"> района на среднесрочную перспективу, а также определяются основные направления бюджетной и налоговой политики;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втором этапе разрабатываются и утверждаются основные показатели среднесрочного  финансового плана и основные направления долговой политики;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третьем этапе определяются объемы бюджетных ассигнований по разделам, подразделам, целевым статьям и видам расходов классификации расходов бюджета, предусматриваемые среднесрочным финансовым планом, а также предельные объемы бюджетных ассигнований по главным распорядителям средств бюджета.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Управление финансов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район» представляет среднесрочный финансовый план с пояснительной запиской на рассмотрение и утверждение Администрации муниципального образования «Парзинское». 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Утвержденный среднесрочный финансовый план направляется в Совет депутатов муниципального образования «Парзинское» вместе с проектом бюджета на очередной финансовый год.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Среднесрочный финансовый план размещается на официальном интернет ресурсе муниципального образования «Парзинское». </w:t>
      </w:r>
    </w:p>
    <w:p w:rsidR="00DB787A" w:rsidRPr="000C7A16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787A" w:rsidRPr="00D26D69" w:rsidRDefault="00DB787A" w:rsidP="00DB787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6D69">
        <w:rPr>
          <w:rFonts w:ascii="Times New Roman" w:hAnsi="Times New Roman" w:cs="Times New Roman"/>
          <w:sz w:val="24"/>
          <w:szCs w:val="24"/>
        </w:rPr>
        <w:t>II. Применение среднесрочного финансового плана</w:t>
      </w:r>
    </w:p>
    <w:p w:rsidR="00DB787A" w:rsidRPr="00D26D69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D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6D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Показатели утвержденного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«Парзинское» среднесрочного финансового плана в обязательном порядке учитываются и являются основой для составления проекта бюджета на очередной финансовый год.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 финансов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район» использует среднесрочный финансовый план при формировании проекта бюджета на очередной финансовый год путем: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разработки доходной части бюджета в соответствии с параметрами доходов среднесрочного финансового плана;</w:t>
      </w:r>
    </w:p>
    <w:p w:rsidR="00DB787A" w:rsidRPr="00D26D69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утверждения объемов бюджетных ассигнований на очередной финансовый год в соответствии с параметрами среднесрочного финансового плана и их доведения до главных распорядителей и получателей бюджетных средств;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Главные распорядители (распорядители, получатели)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разработке предложений по бюджетным проектировкам на очередной финансовый год исходят из утвержденных среднесрочным финансовым планом объемов бюджетных ассигнований по соответствующим разделам, подразделам, целевым статьям и видам расходов классификации расходов бюджета.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Показатели среднесрочного финансового плана на очередной финансовый год при работе над проектом бюджета дополнительно уточняются или конкретизируются в случаях: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изменения федерального и республиканского бюджетного и налогового законодательства;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изменения объемов финансовой помощи от бюджетов других уровней;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изменения процентных ставок по долговым обязательствам муниципального образования «Парзинское» наступающим в очередном финансовом году;</w:t>
      </w:r>
    </w:p>
    <w:p w:rsidR="00DB787A" w:rsidRDefault="00DB787A" w:rsidP="00DB78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непредвиденных обстоятельствах.</w:t>
      </w:r>
    </w:p>
    <w:p w:rsidR="00DB787A" w:rsidRPr="00D26D69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Pr="00D26D69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</w:p>
    <w:p w:rsidR="00DB787A" w:rsidRPr="00E02331" w:rsidRDefault="00DB787A" w:rsidP="00DB787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E02331">
        <w:rPr>
          <w:rFonts w:ascii="Times New Roman" w:hAnsi="Times New Roman" w:cs="Times New Roman"/>
        </w:rPr>
        <w:lastRenderedPageBreak/>
        <w:t>Приложение</w:t>
      </w:r>
    </w:p>
    <w:p w:rsidR="00DB787A" w:rsidRPr="00E02331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E02331">
        <w:rPr>
          <w:rFonts w:ascii="Times New Roman" w:hAnsi="Times New Roman" w:cs="Times New Roman"/>
        </w:rPr>
        <w:t>к Порядку</w:t>
      </w:r>
    </w:p>
    <w:p w:rsidR="00DB787A" w:rsidRPr="00E02331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E02331">
        <w:rPr>
          <w:rFonts w:ascii="Times New Roman" w:hAnsi="Times New Roman" w:cs="Times New Roman"/>
        </w:rPr>
        <w:t>составления и утверждения</w:t>
      </w:r>
    </w:p>
    <w:p w:rsidR="00DB787A" w:rsidRPr="00E02331" w:rsidRDefault="00DB787A" w:rsidP="00DB787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E02331">
        <w:rPr>
          <w:rFonts w:ascii="Times New Roman" w:hAnsi="Times New Roman" w:cs="Times New Roman"/>
        </w:rPr>
        <w:t>среднесрочного финансового плана</w:t>
      </w:r>
    </w:p>
    <w:p w:rsidR="00DB787A" w:rsidRDefault="00DB787A" w:rsidP="00DB78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B787A" w:rsidRDefault="00DB787A" w:rsidP="00DB78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418"/>
        <w:gridCol w:w="1157"/>
        <w:gridCol w:w="1053"/>
        <w:gridCol w:w="1152"/>
        <w:gridCol w:w="1152"/>
      </w:tblGrid>
      <w:tr w:rsidR="00DB787A" w:rsidTr="00AB397B">
        <w:trPr>
          <w:trHeight w:val="76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Среднесрочный финансовый план бюджета муниципального образования </w:t>
            </w:r>
          </w:p>
          <w:p w:rsidR="00DB787A" w:rsidRPr="003B1319" w:rsidRDefault="00DB787A" w:rsidP="00AB39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«Парзинское» </w:t>
            </w:r>
          </w:p>
        </w:tc>
      </w:tr>
      <w:tr w:rsidR="00DB787A" w:rsidTr="00AB397B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B787A" w:rsidTr="00AB397B">
        <w:trPr>
          <w:trHeight w:val="14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Классификация: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Доходы - БКД;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Расходы - Глава, Раздел (подраздел), Целевая статья, Вид расходов</w:t>
            </w:r>
            <w:r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год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Прогнози-руемый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период,     1-й год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7A" w:rsidRDefault="00DB787A" w:rsidP="00AB39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Прогнози-руемый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период,     2-й год</w:t>
            </w:r>
          </w:p>
        </w:tc>
      </w:tr>
      <w:tr w:rsidR="00DB787A" w:rsidTr="00AB397B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</w:tr>
      <w:tr w:rsidR="00DB787A" w:rsidTr="00AB397B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</w:tr>
      <w:tr w:rsidR="00DB787A" w:rsidTr="00AB397B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Pr="004935E0" w:rsidRDefault="00DB787A" w:rsidP="00AB3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БЮДЖЕТНЫХ АССИГНОВАНИЙ ПО ГЛАВНЫМ РАСПОРЯДИТЕЛЯМ БЮДЖЕТНЫХ СРЕДСТВ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Дефицит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(-), </w:t>
            </w:r>
            <w:proofErr w:type="gramEnd"/>
            <w:r>
              <w:rPr>
                <w:b/>
                <w:bCs/>
                <w:sz w:val="20"/>
                <w:szCs w:val="20"/>
              </w:rPr>
              <w:t>профицит (+)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погашения дефицита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бюджетные кредиты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</w:tr>
      <w:tr w:rsidR="00DB787A" w:rsidTr="00AB397B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87A" w:rsidRDefault="00DB787A" w:rsidP="00AB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остатки на начало года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sz w:val="20"/>
                <w:szCs w:val="20"/>
              </w:rPr>
            </w:pPr>
          </w:p>
        </w:tc>
      </w:tr>
      <w:tr w:rsidR="00DB787A" w:rsidTr="00AB397B">
        <w:trPr>
          <w:trHeight w:val="49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B787A" w:rsidRDefault="00DB787A" w:rsidP="00AB3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Верхний предел муниципального долга по состоянию на  1 января года, следующего за очередным финансовым годом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87A" w:rsidRDefault="00DB787A" w:rsidP="00AB39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DB787A" w:rsidRPr="00D26D69" w:rsidRDefault="00DB787A" w:rsidP="00DB78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04DBD" w:rsidRDefault="00304DBD"/>
    <w:sectPr w:rsidR="00304DB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7A"/>
    <w:rsid w:val="000F67F9"/>
    <w:rsid w:val="00140F3B"/>
    <w:rsid w:val="00304DBD"/>
    <w:rsid w:val="00930BC9"/>
    <w:rsid w:val="00A43F84"/>
    <w:rsid w:val="00C70C57"/>
    <w:rsid w:val="00DB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87A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8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8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7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B787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DB78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70C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C70C57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87A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8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8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7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B787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DB78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70C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C70C57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2</cp:revision>
  <dcterms:created xsi:type="dcterms:W3CDTF">2015-12-01T12:20:00Z</dcterms:created>
  <dcterms:modified xsi:type="dcterms:W3CDTF">2015-12-01T12:20:00Z</dcterms:modified>
</cp:coreProperties>
</file>