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157325">
        <w:rPr>
          <w:b/>
          <w:sz w:val="28"/>
          <w:szCs w:val="28"/>
        </w:rPr>
        <w:t>5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57325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7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531"/>
        <w:gridCol w:w="708"/>
      </w:tblGrid>
      <w:tr w:rsidR="00EC33C1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F559F" w:rsidRDefault="004F559F" w:rsidP="004F559F">
            <w:r>
              <w:t xml:space="preserve">Извещение </w:t>
            </w:r>
            <w:r w:rsidRPr="004F559F">
              <w:t>о проведен</w:t>
            </w:r>
            <w:proofErr w:type="gramStart"/>
            <w:r w:rsidRPr="004F559F">
              <w:t>ии  ау</w:t>
            </w:r>
            <w:proofErr w:type="gramEnd"/>
            <w:r w:rsidRPr="004F559F">
              <w:t>кциона по продаже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0025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tbl>
      <w:tblPr>
        <w:tblW w:w="10065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4"/>
        <w:gridCol w:w="6961"/>
      </w:tblGrid>
      <w:tr w:rsidR="00157325" w:rsidTr="00157325">
        <w:trPr>
          <w:trHeight w:val="99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 xml:space="preserve">Утверждено </w:t>
            </w: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  </w:t>
            </w: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от  01.02.2023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года   № 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2.16</w:t>
            </w: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:rsidR="00157325" w:rsidRDefault="00157325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кциона по продаже земельного участка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157325" w:rsidTr="00157325">
        <w:trPr>
          <w:trHeight w:val="771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>
              <w:rPr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Распоряжение Министерство имущественных отношений Удмуртской Республики №84-р от 30.01.2023г.</w:t>
            </w:r>
          </w:p>
        </w:tc>
      </w:tr>
      <w:tr w:rsidR="00157325" w:rsidTr="00157325">
        <w:trPr>
          <w:trHeight w:val="93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</w:t>
            </w:r>
            <w:r>
              <w:rPr>
                <w:b/>
                <w:sz w:val="20"/>
                <w:szCs w:val="20"/>
                <w:lang w:eastAsia="ar-SA"/>
              </w:rPr>
              <w:t xml:space="preserve">в </w:t>
            </w:r>
            <w:r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10.00 часов по местному времени 13.03.2023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157325" w:rsidTr="00157325">
        <w:trPr>
          <w:trHeight w:val="328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участка</w:t>
            </w:r>
          </w:p>
        </w:tc>
      </w:tr>
      <w:tr w:rsidR="00157325" w:rsidTr="00157325">
        <w:trPr>
          <w:trHeight w:val="88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157325" w:rsidTr="00157325">
        <w:trPr>
          <w:trHeight w:val="57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157325" w:rsidRDefault="00157325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ar-SA"/>
              </w:rPr>
              <w:t>с</w:t>
            </w:r>
            <w:proofErr w:type="gramStart"/>
            <w:r>
              <w:rPr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sz w:val="20"/>
                <w:szCs w:val="20"/>
                <w:lang w:eastAsia="ar-SA"/>
              </w:rPr>
              <w:t>арзи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ar-SA"/>
              </w:rPr>
              <w:t>ул.Леснаая</w:t>
            </w:r>
            <w:proofErr w:type="spellEnd"/>
            <w:r>
              <w:rPr>
                <w:sz w:val="20"/>
                <w:szCs w:val="20"/>
                <w:lang w:eastAsia="ar-SA"/>
              </w:rPr>
              <w:t>, 2</w:t>
            </w:r>
          </w:p>
        </w:tc>
      </w:tr>
      <w:tr w:rsidR="00157325" w:rsidTr="00157325">
        <w:trPr>
          <w:trHeight w:val="28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>
              <w:rPr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2000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Государственная собственность 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157325" w:rsidTr="00157325">
        <w:trPr>
          <w:trHeight w:val="23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18:05:090002:234</w:t>
            </w:r>
          </w:p>
        </w:tc>
      </w:tr>
      <w:tr w:rsidR="00157325" w:rsidTr="00157325">
        <w:trPr>
          <w:trHeight w:val="15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157325" w:rsidTr="00157325">
        <w:trPr>
          <w:trHeight w:val="29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введения личного подсобного хозяйства (приусадебный земельный участок) (код 2.2)</w:t>
            </w:r>
          </w:p>
        </w:tc>
      </w:tr>
      <w:tr w:rsidR="00157325" w:rsidTr="00157325">
        <w:trPr>
          <w:trHeight w:val="29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».</w:t>
            </w:r>
          </w:p>
          <w:p w:rsidR="00157325" w:rsidRDefault="0015732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157325" w:rsidRDefault="00157325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2. </w:t>
            </w:r>
            <w:r>
              <w:rPr>
                <w:color w:val="000000"/>
                <w:sz w:val="20"/>
                <w:szCs w:val="20"/>
                <w:lang w:eastAsia="ar-SA"/>
              </w:rPr>
              <w:t>Центральное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ar-SA"/>
              </w:rPr>
              <w:t>водоснабжение отсутствует.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57325" w:rsidTr="00157325">
        <w:trPr>
          <w:trHeight w:val="46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4.  Высота  5  </w:t>
            </w:r>
            <w:proofErr w:type="gramStart"/>
            <w:r>
              <w:rPr>
                <w:sz w:val="20"/>
                <w:szCs w:val="20"/>
                <w:lang w:eastAsia="ar-SA"/>
              </w:rPr>
              <w:t>м-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157325" w:rsidRDefault="0015732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Минимальные </w:t>
            </w:r>
            <w:proofErr w:type="gramStart"/>
            <w:r>
              <w:rPr>
                <w:sz w:val="20"/>
                <w:szCs w:val="20"/>
              </w:rPr>
              <w:t>отступы</w:t>
            </w:r>
            <w:proofErr w:type="gramEnd"/>
            <w:r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157325" w:rsidRDefault="0015732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границ земельного участка по фронту улиц  и проездов – 5 м, </w:t>
            </w:r>
          </w:p>
          <w:p w:rsidR="00157325" w:rsidRDefault="0015732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157325" w:rsidRDefault="00157325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от границ земельного участка – 3м.</w:t>
            </w:r>
          </w:p>
        </w:tc>
      </w:tr>
      <w:tr w:rsidR="00157325" w:rsidTr="00157325">
        <w:trPr>
          <w:trHeight w:val="46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 Начальная цена продажи, руб.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315 800,00 руб. (триста пятнадцать тысяч восемьсот) руб. 00 коп.</w:t>
            </w:r>
          </w:p>
        </w:tc>
      </w:tr>
      <w:tr w:rsidR="00157325" w:rsidTr="00157325">
        <w:trPr>
          <w:trHeight w:val="105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9 474,00 руб. (девять тысяч четыреста семьдесят четыре) руб. 00 коп.</w:t>
            </w:r>
          </w:p>
        </w:tc>
      </w:tr>
      <w:tr w:rsidR="00157325" w:rsidTr="00157325">
        <w:trPr>
          <w:trHeight w:val="44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 Размер задатка (50% от начальной цены)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157 900,00 руб. (сто пятьдесят семь тысяч девятьсот) руб.00 коп.</w:t>
            </w:r>
          </w:p>
        </w:tc>
      </w:tr>
      <w:tr w:rsidR="00157325" w:rsidTr="00157325">
        <w:trPr>
          <w:trHeight w:val="60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ar-SA"/>
              </w:rPr>
              <w:t>Получатель</w:t>
            </w:r>
            <w:r>
              <w:rPr>
                <w:sz w:val="20"/>
                <w:szCs w:val="20"/>
                <w:lang w:eastAsia="ar-SA"/>
              </w:rPr>
              <w:t xml:space="preserve">: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157325" w:rsidRDefault="0015732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157325" w:rsidRDefault="0015732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157325" w:rsidRDefault="0015732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157325" w:rsidRDefault="00157325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11.Возврат задатка: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25" w:rsidRDefault="00157325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157325" w:rsidTr="00157325">
        <w:trPr>
          <w:trHeight w:val="527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57325" w:rsidTr="00157325">
        <w:trPr>
          <w:trHeight w:val="4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157325" w:rsidRDefault="001573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157325" w:rsidTr="00157325">
        <w:trPr>
          <w:trHeight w:val="57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Ежедневно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с 06.02.2023 г.  по  09.03.2023 г.</w:t>
            </w:r>
            <w:r>
              <w:rPr>
                <w:bCs/>
                <w:sz w:val="20"/>
                <w:szCs w:val="20"/>
                <w:lang w:eastAsia="ar-SA"/>
              </w:rPr>
              <w:t xml:space="preserve"> 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157325" w:rsidTr="00157325">
        <w:trPr>
          <w:trHeight w:val="13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157325" w:rsidTr="00157325">
        <w:trPr>
          <w:trHeight w:val="461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 Проект договора купли-продажи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157325" w:rsidTr="00157325">
        <w:trPr>
          <w:trHeight w:val="461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19.Рассмотрение заявок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25" w:rsidRDefault="001573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10.03.2023 г.</w:t>
            </w:r>
          </w:p>
        </w:tc>
      </w:tr>
    </w:tbl>
    <w:p w:rsidR="00157325" w:rsidRDefault="00157325" w:rsidP="001573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57325" w:rsidRDefault="00157325" w:rsidP="00157325">
      <w:pPr>
        <w:pStyle w:val="ac"/>
        <w:jc w:val="center"/>
        <w:rPr>
          <w:b/>
          <w:bCs/>
        </w:rPr>
      </w:pPr>
    </w:p>
    <w:p w:rsidR="00157325" w:rsidRDefault="00157325" w:rsidP="001573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25" w:rsidRDefault="00157325" w:rsidP="0015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ANwQIAAL8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" filled="f" stroked="f">
                <v:textbox>
                  <w:txbxContent>
                    <w:p w:rsidR="00157325" w:rsidRDefault="00157325" w:rsidP="00157325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157325" w:rsidRDefault="00157325" w:rsidP="001573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157325" w:rsidRDefault="00157325" w:rsidP="00157325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157325" w:rsidRDefault="00157325" w:rsidP="00157325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кциона:</w:t>
      </w:r>
    </w:p>
    <w:p w:rsidR="00157325" w:rsidRDefault="00157325" w:rsidP="00157325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157325" w:rsidRDefault="00157325" w:rsidP="00157325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157325" w:rsidRDefault="00157325" w:rsidP="00157325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157325" w:rsidRDefault="00157325" w:rsidP="00157325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15732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не </w:t>
      </w:r>
      <w:proofErr w:type="gramStart"/>
      <w:r>
        <w:rPr>
          <w:sz w:val="20"/>
          <w:szCs w:val="20"/>
          <w:lang w:eastAsia="ar-SA"/>
        </w:rPr>
        <w:t>позднее</w:t>
      </w:r>
      <w:proofErr w:type="gramEnd"/>
      <w:r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157325" w:rsidRDefault="00157325" w:rsidP="00157325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157325" w:rsidRDefault="00157325" w:rsidP="00157325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4. </w:t>
      </w:r>
      <w:proofErr w:type="gramStart"/>
      <w:r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15732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в течени</w:t>
      </w:r>
      <w:proofErr w:type="gramStart"/>
      <w:r>
        <w:rPr>
          <w:sz w:val="20"/>
          <w:szCs w:val="20"/>
          <w:lang w:eastAsia="ar-SA"/>
        </w:rPr>
        <w:t>и</w:t>
      </w:r>
      <w:proofErr w:type="gramEnd"/>
      <w:r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157325" w:rsidRDefault="00157325" w:rsidP="00157325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15732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.     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157325" w:rsidRDefault="00157325" w:rsidP="00157325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</w:t>
      </w:r>
    </w:p>
    <w:p w:rsidR="00157325" w:rsidRDefault="00157325" w:rsidP="0015732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t>Приложение № 2</w:t>
      </w:r>
    </w:p>
    <w:p w:rsidR="00157325" w:rsidRDefault="00157325" w:rsidP="00157325">
      <w:pPr>
        <w:jc w:val="right"/>
        <w:rPr>
          <w:rFonts w:eastAsia="MS Mincho"/>
          <w:sz w:val="20"/>
          <w:szCs w:val="20"/>
        </w:rPr>
      </w:pPr>
    </w:p>
    <w:p w:rsidR="00157325" w:rsidRDefault="00157325" w:rsidP="00157325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157325" w:rsidRDefault="00157325" w:rsidP="00157325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157325" w:rsidRDefault="00157325" w:rsidP="00157325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>
        <w:rPr>
          <w:b/>
          <w:bCs/>
          <w:iCs/>
          <w:sz w:val="20"/>
          <w:szCs w:val="20"/>
          <w:lang w:eastAsia="ar-SA"/>
        </w:rPr>
        <w:t>З</w:t>
      </w:r>
      <w:proofErr w:type="gramEnd"/>
      <w:r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157325" w:rsidRDefault="00157325" w:rsidP="00157325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157325" w:rsidRDefault="00157325" w:rsidP="00157325">
      <w:pPr>
        <w:ind w:firstLine="720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>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157325" w:rsidRDefault="00157325" w:rsidP="00157325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157325" w:rsidRDefault="00157325" w:rsidP="00157325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157325" w:rsidRDefault="00157325" w:rsidP="00157325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18:05:_____________, площадью ___________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 по адресу: ______________________________________________.</w:t>
      </w:r>
    </w:p>
    <w:p w:rsidR="00157325" w:rsidRDefault="00157325" w:rsidP="00157325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157325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и портале Администрации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proofErr w:type="spellStart"/>
      <w:r>
        <w:rPr>
          <w:sz w:val="20"/>
          <w:szCs w:val="20"/>
          <w:u w:val="single"/>
          <w:lang w:val="en-US" w:eastAsia="ar-SA"/>
        </w:rPr>
        <w:t>glazrayon</w:t>
      </w:r>
      <w:proofErr w:type="spellEnd"/>
      <w:r>
        <w:rPr>
          <w:sz w:val="20"/>
          <w:szCs w:val="20"/>
          <w:u w:val="single"/>
          <w:lang w:eastAsia="ar-SA"/>
        </w:rPr>
        <w:t xml:space="preserve">. 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157325" w:rsidRDefault="00157325" w:rsidP="0015732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157325" w:rsidRDefault="00157325" w:rsidP="0015732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ИНН__________________телефон</w:t>
      </w:r>
      <w:proofErr w:type="spellEnd"/>
      <w:r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Место нахождение</w:t>
      </w:r>
      <w:proofErr w:type="gramEnd"/>
      <w:r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>
        <w:rPr>
          <w:sz w:val="20"/>
          <w:szCs w:val="20"/>
          <w:lang w:eastAsia="ar-SA"/>
        </w:rPr>
        <w:t>нужное</w:t>
      </w:r>
      <w:proofErr w:type="gramEnd"/>
      <w:r>
        <w:rPr>
          <w:sz w:val="20"/>
          <w:szCs w:val="20"/>
          <w:lang w:eastAsia="ar-SA"/>
        </w:rPr>
        <w:t xml:space="preserve"> отметить):</w:t>
      </w:r>
    </w:p>
    <w:p w:rsidR="00157325" w:rsidRDefault="00157325" w:rsidP="00157325">
      <w:pPr>
        <w:numPr>
          <w:ilvl w:val="0"/>
          <w:numId w:val="34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157325" w:rsidRDefault="00157325" w:rsidP="00157325">
      <w:pPr>
        <w:numPr>
          <w:ilvl w:val="0"/>
          <w:numId w:val="34"/>
        </w:numPr>
        <w:tabs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>
        <w:rPr>
          <w:sz w:val="20"/>
          <w:szCs w:val="20"/>
          <w:lang w:eastAsia="ar-SA"/>
        </w:rPr>
        <w:t>лицо, подавшее заявку действует</w:t>
      </w:r>
      <w:proofErr w:type="gramEnd"/>
      <w:r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157325" w:rsidRDefault="00157325" w:rsidP="00157325">
      <w:pPr>
        <w:numPr>
          <w:ilvl w:val="0"/>
          <w:numId w:val="34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157325" w:rsidRDefault="00157325" w:rsidP="00157325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_________________ /______________________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_______час</w:t>
      </w:r>
      <w:proofErr w:type="gramStart"/>
      <w:r>
        <w:rPr>
          <w:sz w:val="20"/>
          <w:szCs w:val="20"/>
          <w:lang w:eastAsia="ar-SA"/>
        </w:rPr>
        <w:t>.</w:t>
      </w:r>
      <w:proofErr w:type="gramEnd"/>
      <w:r>
        <w:rPr>
          <w:sz w:val="20"/>
          <w:szCs w:val="20"/>
          <w:lang w:eastAsia="ar-SA"/>
        </w:rPr>
        <w:t xml:space="preserve"> ________ </w:t>
      </w:r>
      <w:proofErr w:type="gramStart"/>
      <w:r>
        <w:rPr>
          <w:sz w:val="20"/>
          <w:szCs w:val="20"/>
          <w:lang w:eastAsia="ar-SA"/>
        </w:rPr>
        <w:t>м</w:t>
      </w:r>
      <w:proofErr w:type="gramEnd"/>
      <w:r>
        <w:rPr>
          <w:sz w:val="20"/>
          <w:szCs w:val="20"/>
          <w:lang w:eastAsia="ar-SA"/>
        </w:rPr>
        <w:t>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157325" w:rsidRDefault="00157325" w:rsidP="00157325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  <w:lang w:eastAsia="ar-SA"/>
        </w:rPr>
        <w:t>согласен</w:t>
      </w:r>
      <w:proofErr w:type="gramEnd"/>
      <w:r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157325" w:rsidRDefault="00157325" w:rsidP="00157325">
      <w:pPr>
        <w:ind w:left="-284"/>
        <w:jc w:val="right"/>
        <w:rPr>
          <w:rFonts w:eastAsia="MS Mincho"/>
          <w:sz w:val="20"/>
          <w:szCs w:val="20"/>
        </w:rPr>
      </w:pPr>
    </w:p>
    <w:p w:rsidR="00157325" w:rsidRDefault="00157325" w:rsidP="00157325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25" w:rsidRDefault="00157325" w:rsidP="0015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" filled="f" stroked="f">
                <v:textbox>
                  <w:txbxContent>
                    <w:p w:rsidR="00157325" w:rsidRDefault="00157325" w:rsidP="00157325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157325" w:rsidRDefault="00157325" w:rsidP="001573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купли-продажи земельного участка, в г</w:t>
      </w:r>
      <w:r>
        <w:rPr>
          <w:b/>
          <w:color w:val="000000"/>
          <w:sz w:val="20"/>
          <w:szCs w:val="20"/>
          <w:lang w:eastAsia="ar-SA"/>
        </w:rPr>
        <w:t>осударственной собственности до разграничения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157325" w:rsidRDefault="00157325" w:rsidP="00157325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57325" w:rsidRDefault="00157325" w:rsidP="00157325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157325" w:rsidRDefault="00157325" w:rsidP="00157325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</w:t>
      </w:r>
      <w:proofErr w:type="gramStart"/>
      <w:r>
        <w:rPr>
          <w:sz w:val="20"/>
          <w:szCs w:val="20"/>
          <w:lang w:eastAsia="ar-SA"/>
        </w:rPr>
        <w:t>:</w:t>
      </w:r>
      <w:proofErr w:type="gramEnd"/>
    </w:p>
    <w:p w:rsidR="00157325" w:rsidRDefault="00157325" w:rsidP="00157325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157325" w:rsidRDefault="00157325" w:rsidP="0015732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157325" w:rsidRDefault="00157325" w:rsidP="00157325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157325" w:rsidRDefault="00157325" w:rsidP="00157325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157325" w:rsidRDefault="00157325" w:rsidP="00157325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157325" w:rsidRDefault="00157325" w:rsidP="00157325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157325" w:rsidRDefault="00157325" w:rsidP="0015732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1.6. В  результате  настоящего Договора Участок  из категории____________________________________, с кадастровым номером 18:05:_______________, площадью __________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</w:t>
      </w:r>
      <w:proofErr w:type="gramStart"/>
      <w:r>
        <w:rPr>
          <w:sz w:val="20"/>
          <w:szCs w:val="20"/>
          <w:lang w:eastAsia="ar-SA"/>
        </w:rPr>
        <w:t>:</w:t>
      </w:r>
      <w:proofErr w:type="gramEnd"/>
    </w:p>
    <w:p w:rsidR="00157325" w:rsidRDefault="00157325" w:rsidP="0015732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157325" w:rsidRDefault="00157325" w:rsidP="0015732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157325" w:rsidRDefault="00157325" w:rsidP="0015732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57325" w:rsidRDefault="00157325" w:rsidP="00157325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25" w:rsidRDefault="00157325" w:rsidP="0015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is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4YVs9HyWpT3IGApQGCgRZh6sKiF/IRRDxMkxerjlkiKUfOSwyOI/TA0I8duwsksgI0cW9Zj&#10;C+EFQKVYYzQsl3oYU9tOsk0NkYZnx8U1PJyKWVE/ZHV8bjAlbG3HiWbG0HhvvR7m7uIn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CAwis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157325" w:rsidRDefault="00157325" w:rsidP="00157325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157325" w:rsidRDefault="00157325" w:rsidP="00157325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157325" w:rsidRDefault="00157325" w:rsidP="00157325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>
        <w:rPr>
          <w:b/>
          <w:bCs/>
          <w:sz w:val="20"/>
          <w:szCs w:val="20"/>
          <w:lang w:eastAsia="ar-SA"/>
        </w:rPr>
        <w:t>е(</w:t>
      </w:r>
      <w:proofErr w:type="gramEnd"/>
      <w:r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157325" w:rsidRDefault="00157325" w:rsidP="00157325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25" w:rsidRDefault="00157325" w:rsidP="0015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0YwgIAALg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" filled="f" stroked="f">
                <v:textbox>
                  <w:txbxContent>
                    <w:p w:rsidR="00157325" w:rsidRDefault="00157325" w:rsidP="00157325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использование и стоимость продаваемого земельного участка;</w:t>
      </w:r>
      <w:proofErr w:type="gramEnd"/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157325" w:rsidRDefault="00157325" w:rsidP="00157325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57325" w:rsidRDefault="00157325" w:rsidP="00157325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157325" w:rsidRDefault="00157325" w:rsidP="00157325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157325" w:rsidRDefault="00157325" w:rsidP="00157325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157325" w:rsidRDefault="00157325" w:rsidP="00157325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157325" w:rsidRDefault="00157325" w:rsidP="00157325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157325" w:rsidRDefault="00157325" w:rsidP="00157325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(ФИО, наименование юр</w:t>
      </w:r>
      <w:proofErr w:type="gramStart"/>
      <w:r>
        <w:rPr>
          <w:b/>
          <w:sz w:val="20"/>
          <w:szCs w:val="20"/>
          <w:lang w:eastAsia="ar-SA"/>
        </w:rPr>
        <w:t>.л</w:t>
      </w:r>
      <w:proofErr w:type="gramEnd"/>
      <w:r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Адрес:</w:t>
      </w: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157325" w:rsidRDefault="00157325" w:rsidP="00157325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157325" w:rsidRDefault="00157325" w:rsidP="00157325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157325" w:rsidRDefault="00157325" w:rsidP="00157325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157325" w:rsidRDefault="00157325" w:rsidP="00157325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325" w:rsidRDefault="00157325" w:rsidP="00157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3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sgNrqV8lKWd6BfJUFgIFIYerCopfqCUQ8DJMX685oqhlHzWsAbiENC7MRxGzKaRLBRp5blqYWK&#10;AqBSbDAalnMzTKl1p/iqhkjDqxPyCt5NxZ2oH7LavzYYEo7bfqDZKXS6d14PY3f2Cw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DyBm7f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157325" w:rsidRDefault="00157325" w:rsidP="00157325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157325" w:rsidTr="00157325">
        <w:trPr>
          <w:trHeight w:val="258"/>
        </w:trPr>
        <w:tc>
          <w:tcPr>
            <w:tcW w:w="4361" w:type="dxa"/>
            <w:hideMark/>
          </w:tcPr>
          <w:p w:rsidR="00157325" w:rsidRDefault="0015732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157325" w:rsidRDefault="0015732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57325" w:rsidRDefault="0015732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157325" w:rsidTr="00157325">
        <w:tc>
          <w:tcPr>
            <w:tcW w:w="4361" w:type="dxa"/>
          </w:tcPr>
          <w:p w:rsidR="00157325" w:rsidRDefault="001573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157325" w:rsidRDefault="00157325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157325" w:rsidRDefault="00157325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57325" w:rsidRDefault="0015732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157325" w:rsidRDefault="00157325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157325" w:rsidRDefault="00157325" w:rsidP="00157325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157325" w:rsidRDefault="00157325" w:rsidP="00157325">
      <w:pPr>
        <w:suppressAutoHyphens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157325" w:rsidRDefault="00157325" w:rsidP="00157325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57325" w:rsidRDefault="00157325" w:rsidP="0015732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157325" w:rsidRDefault="00157325" w:rsidP="00157325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157325" w:rsidRDefault="00157325" w:rsidP="00157325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</w:t>
      </w:r>
      <w:r>
        <w:rPr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157325" w:rsidRDefault="00157325" w:rsidP="00157325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157325" w:rsidRDefault="00157325" w:rsidP="00157325">
      <w:pPr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157325" w:rsidRDefault="00157325" w:rsidP="00157325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157325" w:rsidRDefault="00157325" w:rsidP="00157325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157325" w:rsidTr="00157325">
        <w:trPr>
          <w:trHeight w:val="258"/>
        </w:trPr>
        <w:tc>
          <w:tcPr>
            <w:tcW w:w="4361" w:type="dxa"/>
            <w:hideMark/>
          </w:tcPr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157325" w:rsidTr="00157325">
        <w:tc>
          <w:tcPr>
            <w:tcW w:w="4361" w:type="dxa"/>
          </w:tcPr>
          <w:p w:rsidR="00157325" w:rsidRDefault="0015732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157325" w:rsidRDefault="00157325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157325" w:rsidRDefault="0015732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157325" w:rsidRDefault="00157325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157325" w:rsidRDefault="00157325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157325" w:rsidRDefault="00157325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157325" w:rsidRDefault="00157325" w:rsidP="00157325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157325" w:rsidRDefault="00157325" w:rsidP="00157325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4F559F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</w:t>
      </w:r>
      <w:r>
        <w:rPr>
          <w:color w:val="FFFFFF"/>
          <w:sz w:val="20"/>
          <w:szCs w:val="20"/>
          <w:lang w:eastAsia="ar-SA"/>
        </w:rPr>
        <w:t xml:space="preserve">                               </w:t>
      </w: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P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bookmarkStart w:id="0" w:name="_GoBack"/>
      <w:bookmarkEnd w:id="0"/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9775F3">
        <w:t>0</w:t>
      </w:r>
      <w:r w:rsidR="00157325">
        <w:t>6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190025">
      <w:footerReference w:type="default" r:id="rId10"/>
      <w:pgSz w:w="11906" w:h="16838"/>
      <w:pgMar w:top="567" w:right="184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8" w:rsidRDefault="007104E8" w:rsidP="002208F8">
      <w:r>
        <w:separator/>
      </w:r>
    </w:p>
  </w:endnote>
  <w:endnote w:type="continuationSeparator" w:id="0">
    <w:p w:rsidR="007104E8" w:rsidRDefault="007104E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7104E8" w:rsidRDefault="00710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32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104E8" w:rsidRDefault="007104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8" w:rsidRDefault="007104E8" w:rsidP="002208F8">
      <w:r>
        <w:separator/>
      </w:r>
    </w:p>
  </w:footnote>
  <w:footnote w:type="continuationSeparator" w:id="0">
    <w:p w:rsidR="007104E8" w:rsidRDefault="007104E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9"/>
  </w:num>
  <w:num w:numId="10">
    <w:abstractNumId w:val="0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23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76F3-8D28-4184-AF5C-0D66F9B0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42</cp:revision>
  <cp:lastPrinted>2023-01-30T07:39:00Z</cp:lastPrinted>
  <dcterms:created xsi:type="dcterms:W3CDTF">2021-11-18T12:11:00Z</dcterms:created>
  <dcterms:modified xsi:type="dcterms:W3CDTF">2023-02-06T04:09:00Z</dcterms:modified>
</cp:coreProperties>
</file>