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  <w:bookmarkStart w:id="0" w:name="_GoBack"/>
      <w:bookmarkEnd w:id="0"/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</w:t>
      </w:r>
      <w:proofErr w:type="spellStart"/>
      <w:r w:rsidRPr="003D10D0">
        <w:rPr>
          <w:color w:val="000000"/>
          <w:spacing w:val="-5"/>
          <w:sz w:val="20"/>
          <w:szCs w:val="20"/>
        </w:rPr>
        <w:t>Глазовский</w:t>
      </w:r>
      <w:proofErr w:type="spellEnd"/>
      <w:r w:rsidRPr="003D10D0">
        <w:rPr>
          <w:color w:val="000000"/>
          <w:spacing w:val="-5"/>
          <w:sz w:val="20"/>
          <w:szCs w:val="20"/>
        </w:rPr>
        <w:t xml:space="preserve">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____________ 2017  №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F06D24" w:rsidRDefault="00AB528E" w:rsidP="00F06D24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>
        <w:rPr>
          <w:rFonts w:eastAsia="Calibri"/>
          <w:b/>
          <w:lang w:eastAsia="en-US"/>
        </w:rPr>
        <w:t>й</w:t>
      </w:r>
      <w:r w:rsidR="00F06D24" w:rsidRPr="00F06D24">
        <w:rPr>
          <w:rFonts w:eastAsia="Calibri"/>
          <w:b/>
          <w:lang w:eastAsia="en-US"/>
        </w:rPr>
        <w:t xml:space="preserve">  на осуществление первичного воинского учёта на территориях, где отсутствуют военные комиссариаты</w:t>
      </w:r>
    </w:p>
    <w:p w:rsidR="00F06D24" w:rsidRPr="008B7C7A" w:rsidRDefault="00F06D24" w:rsidP="00F06D24">
      <w:pPr>
        <w:ind w:firstLine="540"/>
        <w:jc w:val="center"/>
        <w:rPr>
          <w:b/>
        </w:rPr>
      </w:pPr>
      <w:r>
        <w:rPr>
          <w:b/>
        </w:rPr>
        <w:t>на 2018</w:t>
      </w:r>
      <w:r w:rsidR="00AB528E">
        <w:rPr>
          <w:b/>
        </w:rPr>
        <w:t xml:space="preserve"> </w:t>
      </w:r>
      <w:r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2018г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70,8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73,6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75,9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191,7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76,0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174,6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AB528E" w:rsidP="004662FF">
            <w:pPr>
              <w:jc w:val="center"/>
              <w:rPr>
                <w:sz w:val="22"/>
                <w:szCs w:val="22"/>
              </w:rPr>
            </w:pPr>
            <w:r w:rsidRPr="004662FF">
              <w:rPr>
                <w:sz w:val="22"/>
                <w:szCs w:val="22"/>
              </w:rPr>
              <w:t>70,5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AB528E" w:rsidP="00F06D24">
            <w:pPr>
              <w:jc w:val="center"/>
              <w:rPr>
                <w:b/>
                <w:sz w:val="20"/>
                <w:szCs w:val="20"/>
              </w:rPr>
            </w:pPr>
            <w:r w:rsidRPr="00893E62">
              <w:rPr>
                <w:b/>
                <w:sz w:val="20"/>
                <w:szCs w:val="20"/>
              </w:rPr>
              <w:t>1225,3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1A099F"/>
    <w:rsid w:val="00350917"/>
    <w:rsid w:val="004662FF"/>
    <w:rsid w:val="004853DA"/>
    <w:rsid w:val="00893E62"/>
    <w:rsid w:val="009370DB"/>
    <w:rsid w:val="00AB528E"/>
    <w:rsid w:val="00D66EC9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7</cp:revision>
  <dcterms:created xsi:type="dcterms:W3CDTF">2017-11-11T10:46:00Z</dcterms:created>
  <dcterms:modified xsi:type="dcterms:W3CDTF">2017-11-13T07:26:00Z</dcterms:modified>
</cp:coreProperties>
</file>